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8F432">
      <w:pPr>
        <w:pStyle w:val="2"/>
        <w:spacing w:before="240"/>
        <w:ind w:left="-142"/>
        <w:jc w:val="center"/>
        <w:rPr>
          <w:rFonts w:cs="Arial"/>
          <w:b/>
          <w:bCs/>
          <w:sz w:val="24"/>
          <w:szCs w:val="24"/>
        </w:rPr>
      </w:pPr>
      <w:r>
        <w:rPr>
          <w:rFonts w:cs="Arial"/>
          <w:b/>
          <w:bCs/>
          <w:sz w:val="24"/>
          <w:szCs w:val="24"/>
        </w:rPr>
        <w:t>Job Description</w:t>
      </w:r>
    </w:p>
    <w:tbl>
      <w:tblPr>
        <w:tblStyle w:val="21"/>
        <w:tblW w:w="0" w:type="auto"/>
        <w:tblInd w:w="0" w:type="dxa"/>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Layout w:type="autofit"/>
        <w:tblCellMar>
          <w:top w:w="0" w:type="dxa"/>
          <w:left w:w="108" w:type="dxa"/>
          <w:bottom w:w="0" w:type="dxa"/>
          <w:right w:w="108" w:type="dxa"/>
        </w:tblCellMar>
      </w:tblPr>
      <w:tblGrid>
        <w:gridCol w:w="1809"/>
        <w:gridCol w:w="7433"/>
      </w:tblGrid>
      <w:tr w14:paraId="4566FB91">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454" w:hRule="atLeast"/>
        </w:trPr>
        <w:tc>
          <w:tcPr>
            <w:tcW w:w="1809" w:type="dxa"/>
            <w:shd w:val="clear" w:color="auto" w:fill="EAF1DD" w:themeFill="accent3" w:themeFillTint="33"/>
            <w:vAlign w:val="center"/>
          </w:tcPr>
          <w:p w14:paraId="4EF357D9">
            <w:pPr>
              <w:spacing w:before="240" w:after="0" w:line="276" w:lineRule="auto"/>
              <w:rPr>
                <w:rFonts w:cs="Arial"/>
                <w:b/>
                <w:bCs/>
                <w:color w:val="4F6228" w:themeColor="accent3" w:themeShade="80"/>
                <w:szCs w:val="24"/>
              </w:rPr>
            </w:pPr>
            <w:r>
              <w:rPr>
                <w:rFonts w:cs="Arial"/>
                <w:b/>
                <w:bCs/>
                <w:color w:val="4F6228" w:themeColor="accent3" w:themeShade="80"/>
                <w:szCs w:val="24"/>
              </w:rPr>
              <w:t>Job Title</w:t>
            </w:r>
          </w:p>
        </w:tc>
        <w:tc>
          <w:tcPr>
            <w:tcW w:w="7433" w:type="dxa"/>
            <w:shd w:val="clear" w:color="auto" w:fill="EAF1DD" w:themeFill="accent3" w:themeFillTint="33"/>
            <w:vAlign w:val="center"/>
          </w:tcPr>
          <w:p w14:paraId="687E03DC">
            <w:pPr>
              <w:spacing w:before="240" w:after="0" w:line="276" w:lineRule="auto"/>
              <w:rPr>
                <w:rFonts w:cs="Arial"/>
                <w:szCs w:val="24"/>
              </w:rPr>
            </w:pPr>
            <w:r>
              <w:rPr>
                <w:rFonts w:cs="Arial"/>
                <w:szCs w:val="24"/>
              </w:rPr>
              <w:t>Community Projects Officer</w:t>
            </w:r>
          </w:p>
        </w:tc>
      </w:tr>
      <w:tr w14:paraId="4F93C24D">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454" w:hRule="atLeast"/>
        </w:trPr>
        <w:tc>
          <w:tcPr>
            <w:tcW w:w="1809" w:type="dxa"/>
            <w:vAlign w:val="center"/>
          </w:tcPr>
          <w:p w14:paraId="1ACDD20E">
            <w:pPr>
              <w:spacing w:before="240" w:after="0" w:line="276" w:lineRule="auto"/>
              <w:rPr>
                <w:rFonts w:cs="Arial"/>
                <w:b/>
                <w:bCs/>
                <w:color w:val="4F6228" w:themeColor="accent3" w:themeShade="80"/>
                <w:szCs w:val="24"/>
              </w:rPr>
            </w:pPr>
            <w:r>
              <w:rPr>
                <w:rFonts w:cs="Arial"/>
                <w:b/>
                <w:bCs/>
                <w:color w:val="4F6228" w:themeColor="accent3" w:themeShade="80"/>
                <w:szCs w:val="24"/>
              </w:rPr>
              <w:t>Salary</w:t>
            </w:r>
          </w:p>
        </w:tc>
        <w:tc>
          <w:tcPr>
            <w:tcW w:w="7433" w:type="dxa"/>
            <w:vAlign w:val="center"/>
          </w:tcPr>
          <w:p w14:paraId="65001789">
            <w:pPr>
              <w:spacing w:before="240" w:after="0" w:line="276" w:lineRule="auto"/>
              <w:rPr>
                <w:rFonts w:cs="Arial"/>
                <w:szCs w:val="24"/>
              </w:rPr>
            </w:pPr>
            <w:r>
              <w:rPr>
                <w:rFonts w:cs="Arial"/>
                <w:szCs w:val="24"/>
              </w:rPr>
              <w:t>Based on £33,852 per annum, pro-rata</w:t>
            </w:r>
          </w:p>
        </w:tc>
      </w:tr>
      <w:tr w14:paraId="3C77DFAB">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454" w:hRule="atLeast"/>
        </w:trPr>
        <w:tc>
          <w:tcPr>
            <w:tcW w:w="1809" w:type="dxa"/>
            <w:shd w:val="clear" w:color="auto" w:fill="EAF1DD" w:themeFill="accent3" w:themeFillTint="33"/>
            <w:vAlign w:val="center"/>
          </w:tcPr>
          <w:p w14:paraId="6206A381">
            <w:pPr>
              <w:spacing w:before="240" w:after="0" w:line="276" w:lineRule="auto"/>
              <w:rPr>
                <w:rFonts w:cs="Arial"/>
                <w:b/>
                <w:bCs/>
                <w:color w:val="4F6228" w:themeColor="accent3" w:themeShade="80"/>
                <w:szCs w:val="24"/>
              </w:rPr>
            </w:pPr>
            <w:r>
              <w:rPr>
                <w:rFonts w:cs="Arial"/>
                <w:b/>
                <w:bCs/>
                <w:color w:val="4F6228" w:themeColor="accent3" w:themeShade="80"/>
                <w:szCs w:val="24"/>
              </w:rPr>
              <w:t>Hours</w:t>
            </w:r>
          </w:p>
        </w:tc>
        <w:tc>
          <w:tcPr>
            <w:tcW w:w="7433" w:type="dxa"/>
            <w:shd w:val="clear" w:color="auto" w:fill="EAF1DD" w:themeFill="accent3" w:themeFillTint="33"/>
            <w:vAlign w:val="center"/>
          </w:tcPr>
          <w:p w14:paraId="33BB88B2">
            <w:pPr>
              <w:spacing w:before="240" w:after="0" w:line="276" w:lineRule="auto"/>
              <w:rPr>
                <w:rFonts w:cs="Arial"/>
                <w:szCs w:val="24"/>
              </w:rPr>
            </w:pPr>
            <w:r>
              <w:rPr>
                <w:rFonts w:cs="Arial"/>
                <w:szCs w:val="24"/>
              </w:rPr>
              <w:t>Open to discussion, between 0.6 – 1FTE (21-35 hrs / week)</w:t>
            </w:r>
          </w:p>
        </w:tc>
      </w:tr>
      <w:tr w14:paraId="0EA59A23">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454" w:hRule="atLeast"/>
        </w:trPr>
        <w:tc>
          <w:tcPr>
            <w:tcW w:w="1809" w:type="dxa"/>
            <w:vAlign w:val="center"/>
          </w:tcPr>
          <w:p w14:paraId="7291F483">
            <w:pPr>
              <w:spacing w:before="240" w:after="0" w:line="276" w:lineRule="auto"/>
              <w:rPr>
                <w:rFonts w:cs="Arial"/>
                <w:b/>
                <w:bCs/>
                <w:color w:val="4F6228" w:themeColor="accent3" w:themeShade="80"/>
                <w:szCs w:val="24"/>
              </w:rPr>
            </w:pPr>
            <w:r>
              <w:rPr>
                <w:rFonts w:cs="Arial"/>
                <w:b/>
                <w:bCs/>
                <w:color w:val="4F6228" w:themeColor="accent3" w:themeShade="80"/>
                <w:szCs w:val="24"/>
              </w:rPr>
              <w:t>Contract</w:t>
            </w:r>
          </w:p>
        </w:tc>
        <w:tc>
          <w:tcPr>
            <w:tcW w:w="7433" w:type="dxa"/>
            <w:vAlign w:val="center"/>
          </w:tcPr>
          <w:p w14:paraId="645E3F0C">
            <w:pPr>
              <w:spacing w:before="240" w:after="0" w:line="276" w:lineRule="auto"/>
              <w:rPr>
                <w:rFonts w:cs="Arial"/>
                <w:szCs w:val="24"/>
              </w:rPr>
            </w:pPr>
            <w:r>
              <w:rPr>
                <w:rFonts w:cs="Arial"/>
                <w:szCs w:val="24"/>
              </w:rPr>
              <w:t>Permanent (ongoing subject to continued fundability)</w:t>
            </w:r>
          </w:p>
        </w:tc>
      </w:tr>
      <w:tr w14:paraId="0EB09951">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454" w:hRule="atLeast"/>
        </w:trPr>
        <w:tc>
          <w:tcPr>
            <w:tcW w:w="1809" w:type="dxa"/>
            <w:shd w:val="clear" w:color="auto" w:fill="EAF1DD" w:themeFill="accent3" w:themeFillTint="33"/>
            <w:vAlign w:val="center"/>
          </w:tcPr>
          <w:p w14:paraId="4658E359">
            <w:pPr>
              <w:spacing w:before="240" w:after="0" w:line="276" w:lineRule="auto"/>
              <w:rPr>
                <w:rFonts w:cs="Arial"/>
                <w:b/>
                <w:bCs/>
                <w:color w:val="4F6228" w:themeColor="accent3" w:themeShade="80"/>
                <w:szCs w:val="24"/>
              </w:rPr>
            </w:pPr>
            <w:r>
              <w:rPr>
                <w:rFonts w:cs="Arial"/>
                <w:b/>
                <w:bCs/>
                <w:color w:val="4F6228" w:themeColor="accent3" w:themeShade="80"/>
                <w:szCs w:val="24"/>
              </w:rPr>
              <w:t>Line Manager</w:t>
            </w:r>
          </w:p>
        </w:tc>
        <w:tc>
          <w:tcPr>
            <w:tcW w:w="7433" w:type="dxa"/>
            <w:shd w:val="clear" w:color="auto" w:fill="EAF1DD" w:themeFill="accent3" w:themeFillTint="33"/>
            <w:vAlign w:val="center"/>
          </w:tcPr>
          <w:p w14:paraId="5B16A479">
            <w:pPr>
              <w:spacing w:before="240" w:after="0" w:line="276" w:lineRule="auto"/>
              <w:rPr>
                <w:rFonts w:cs="Arial"/>
                <w:szCs w:val="24"/>
              </w:rPr>
            </w:pPr>
            <w:r>
              <w:rPr>
                <w:rFonts w:cs="Arial"/>
                <w:szCs w:val="24"/>
              </w:rPr>
              <w:t>Head of Projects and Services</w:t>
            </w:r>
          </w:p>
        </w:tc>
      </w:tr>
    </w:tbl>
    <w:p w14:paraId="7E20AF11">
      <w:pPr>
        <w:spacing w:before="240" w:after="0"/>
        <w:rPr>
          <w:rFonts w:cs="Arial"/>
          <w:szCs w:val="24"/>
        </w:rPr>
      </w:pPr>
    </w:p>
    <w:p w14:paraId="15C02336">
      <w:pPr>
        <w:pStyle w:val="3"/>
      </w:pPr>
      <w:r>
        <w:t xml:space="preserve">Context – the </w:t>
      </w:r>
      <w:bookmarkStart w:id="0" w:name="_GoBack"/>
      <w:bookmarkEnd w:id="0"/>
      <w:r>
        <w:t>organisation</w:t>
      </w:r>
    </w:p>
    <w:p w14:paraId="07139774">
      <w:pPr>
        <w:rPr>
          <w:color w:val="000000"/>
        </w:rPr>
      </w:pPr>
      <w:r>
        <w:rPr>
          <w:color w:val="000000" w:themeColor="text1"/>
          <w14:textFill>
            <w14:solidFill>
              <w14:schemeClr w14:val="tx1"/>
            </w14:solidFill>
          </w14:textFill>
        </w:rPr>
        <w:t>Tiree Community Development Trust (“Urras Thiriodh”) is a successful community-led charity with a strong track record of delivering community owned projects and acquiring community assets in the island of Tiree, the furthest out of the Inner Hebrides.</w:t>
      </w:r>
    </w:p>
    <w:p w14:paraId="15A5DF89">
      <w:pPr>
        <w:rPr>
          <w:color w:val="000000"/>
        </w:rPr>
      </w:pPr>
      <w:r>
        <w:rPr>
          <w:color w:val="000000"/>
        </w:rPr>
        <w:t>The Trust operates trading subsidiary companies and several internal workstreams and projects providing a broad range of community services and generating community funding, including:</w:t>
      </w:r>
    </w:p>
    <w:p w14:paraId="177D4C8F">
      <w:pPr>
        <w:pStyle w:val="14"/>
        <w:numPr>
          <w:ilvl w:val="0"/>
          <w:numId w:val="2"/>
        </w:numPr>
        <w:rPr>
          <w:color w:val="000000"/>
        </w:rPr>
      </w:pPr>
      <w:r>
        <w:rPr>
          <w:color w:val="000000"/>
        </w:rPr>
        <w:t>Owning and operating a 900kW wind turbine, generating a net energy surplus for Tiree with all proceeds going to fund the Trust’s activities, and to support grants to other community organisations.</w:t>
      </w:r>
    </w:p>
    <w:p w14:paraId="3CEECFDC">
      <w:pPr>
        <w:pStyle w:val="14"/>
        <w:numPr>
          <w:ilvl w:val="0"/>
          <w:numId w:val="2"/>
        </w:numPr>
        <w:rPr>
          <w:color w:val="000000"/>
        </w:rPr>
      </w:pPr>
      <w:r>
        <w:rPr>
          <w:color w:val="000000" w:themeColor="text1"/>
          <w14:textFill>
            <w14:solidFill>
              <w14:schemeClr w14:val="tx1"/>
            </w14:solidFill>
          </w14:textFill>
        </w:rPr>
        <w:t>Acquiring and restoring two harbours on the island and retaining their operation to support local fishing industry and boat-based tourism.</w:t>
      </w:r>
    </w:p>
    <w:p w14:paraId="30A8F075">
      <w:pPr>
        <w:pStyle w:val="14"/>
        <w:numPr>
          <w:ilvl w:val="0"/>
          <w:numId w:val="2"/>
        </w:numPr>
        <w:rPr>
          <w:color w:val="000000"/>
        </w:rPr>
      </w:pPr>
      <w:r>
        <w:rPr>
          <w:color w:val="000000"/>
        </w:rPr>
        <w:t>Having operated a community owned Tiree Broadband service to offer broadband to homes not otherwise served by conventional provision, until the full roll-out of fibre to every home.</w:t>
      </w:r>
    </w:p>
    <w:p w14:paraId="5C1D818F">
      <w:pPr>
        <w:pStyle w:val="14"/>
        <w:numPr>
          <w:ilvl w:val="0"/>
          <w:numId w:val="2"/>
        </w:numPr>
        <w:rPr>
          <w:color w:val="000000"/>
        </w:rPr>
      </w:pPr>
      <w:r>
        <w:rPr>
          <w:color w:val="000000"/>
        </w:rPr>
        <w:t>Building and running a community owned fuel station and four light commercial business units for lease, in Crossapol, alongside our community owned general store (also leased).</w:t>
      </w:r>
    </w:p>
    <w:p w14:paraId="7300289B">
      <w:pPr>
        <w:pStyle w:val="14"/>
        <w:numPr>
          <w:ilvl w:val="0"/>
          <w:numId w:val="2"/>
        </w:numPr>
        <w:rPr>
          <w:color w:val="000000"/>
        </w:rPr>
      </w:pPr>
      <w:r>
        <w:rPr>
          <w:color w:val="000000"/>
        </w:rPr>
        <w:t>Discover Tiree – the island’s tourist information service.</w:t>
      </w:r>
    </w:p>
    <w:p w14:paraId="6822C475">
      <w:pPr>
        <w:pStyle w:val="14"/>
        <w:numPr>
          <w:ilvl w:val="0"/>
          <w:numId w:val="2"/>
        </w:numPr>
        <w:rPr>
          <w:color w:val="000000"/>
        </w:rPr>
      </w:pPr>
      <w:r>
        <w:rPr>
          <w:color w:val="000000" w:themeColor="text1"/>
          <w14:textFill>
            <w14:solidFill>
              <w14:schemeClr w14:val="tx1"/>
            </w14:solidFill>
          </w14:textFill>
        </w:rPr>
        <w:t>The Ranger Service in Tiree – running projects to protect our natural resources and biodiversity, as well as operating a responsible Croft Camping Service.</w:t>
      </w:r>
    </w:p>
    <w:p w14:paraId="18D7A9FA">
      <w:pPr>
        <w:pStyle w:val="14"/>
        <w:numPr>
          <w:ilvl w:val="0"/>
          <w:numId w:val="2"/>
        </w:numPr>
        <w:rPr>
          <w:color w:val="000000"/>
        </w:rPr>
      </w:pPr>
      <w:r>
        <w:rPr>
          <w:color w:val="000000"/>
        </w:rPr>
        <w:t>A full time Youth activities coordinator, providing a broad range of funded activities for young people covering sports, arts, music and culture.</w:t>
      </w:r>
    </w:p>
    <w:p w14:paraId="24A09DC2">
      <w:pPr>
        <w:pStyle w:val="14"/>
        <w:numPr>
          <w:ilvl w:val="0"/>
          <w:numId w:val="2"/>
        </w:numPr>
        <w:rPr>
          <w:color w:val="000000"/>
        </w:rPr>
      </w:pPr>
      <w:r>
        <w:rPr>
          <w:color w:val="000000"/>
        </w:rPr>
        <w:t>Development activity to retain the use of Gaelic in the community.</w:t>
      </w:r>
    </w:p>
    <w:p w14:paraId="40D0EF52">
      <w:pPr>
        <w:pStyle w:val="14"/>
        <w:numPr>
          <w:ilvl w:val="0"/>
          <w:numId w:val="2"/>
        </w:numPr>
        <w:rPr>
          <w:color w:val="000000"/>
        </w:rPr>
      </w:pPr>
      <w:r>
        <w:rPr>
          <w:color w:val="000000"/>
        </w:rPr>
        <w:t>Community advice and support services for areas such as home energy efficiency, access to benefits and support information and services, including a partnership with Citizens Advice Bureau and offering domestic EPC assessment.</w:t>
      </w:r>
    </w:p>
    <w:p w14:paraId="2A7A0072">
      <w:pPr>
        <w:pStyle w:val="14"/>
        <w:numPr>
          <w:ilvl w:val="0"/>
          <w:numId w:val="2"/>
        </w:numPr>
        <w:rPr>
          <w:color w:val="000000"/>
        </w:rPr>
      </w:pPr>
      <w:r>
        <w:rPr>
          <w:color w:val="000000"/>
        </w:rPr>
        <w:t>A Climate Adaptation project, working with community members to identify impacts to the island from climate change and develop locally led responses</w:t>
      </w:r>
    </w:p>
    <w:p w14:paraId="256FDF38">
      <w:pPr>
        <w:pStyle w:val="14"/>
        <w:numPr>
          <w:ilvl w:val="0"/>
          <w:numId w:val="2"/>
        </w:numPr>
        <w:rPr>
          <w:color w:val="000000"/>
        </w:rPr>
      </w:pPr>
      <w:r>
        <w:rPr>
          <w:color w:val="000000"/>
        </w:rPr>
        <w:t>Supporting other community groups in Tiree to achieve their objectives and manage and maintain community assets.</w:t>
      </w:r>
    </w:p>
    <w:p w14:paraId="4FD33DF6">
      <w:pPr>
        <w:rPr>
          <w:color w:val="000000"/>
        </w:rPr>
      </w:pPr>
      <w:r>
        <w:rPr>
          <w:color w:val="000000"/>
        </w:rPr>
        <w:t>The Trust operates guided by a Community Development Plan. This plan was produced from extensive community engagement effort with Tiree residents to identify the key priorities and challenges for sustainably maintaining and improving Tiree as a great place to live, work, and grow up. As a local community membership charity, we are always run according to the wishes and best interests of the permanent resident population that we exist to support. The organisation is led at a strategic governance level by a board made up primarily of elected local residents, and membership is open to permanent residents of the island.</w:t>
      </w:r>
    </w:p>
    <w:p w14:paraId="76FC0D1A">
      <w:pPr>
        <w:pStyle w:val="3"/>
        <w:rPr>
          <w:rFonts w:cs="Arial"/>
        </w:rPr>
      </w:pPr>
      <w:r>
        <w:rPr>
          <w:rFonts w:cs="Arial"/>
        </w:rPr>
        <w:t>Context of the role</w:t>
      </w:r>
    </w:p>
    <w:p w14:paraId="2E35CA3C">
      <w:pPr>
        <w:spacing w:before="240"/>
        <w:rPr>
          <w:rFonts w:cs="Arial"/>
          <w:szCs w:val="24"/>
        </w:rPr>
      </w:pPr>
      <w:r>
        <w:rPr>
          <w:rFonts w:cs="Arial"/>
          <w:szCs w:val="24"/>
        </w:rPr>
        <w:t>This is an existing role which plays a key role in the planning and delivery of Trust projects. The nature of the project work will vary – there will be a strong focus on project start-up, development and delivery in addition to the ongoing management and review of existing and longer term Trust projects, e.g. identifying issues that may need to be addressed, carrying out updates to project models, responding to new developments and updating plans, and communicating with key decision makers.</w:t>
      </w:r>
    </w:p>
    <w:p w14:paraId="36A5B4AA">
      <w:pPr>
        <w:spacing w:before="240"/>
        <w:rPr>
          <w:rFonts w:cs="Arial"/>
          <w:szCs w:val="24"/>
        </w:rPr>
      </w:pPr>
      <w:r>
        <w:rPr>
          <w:rFonts w:cs="Arial"/>
          <w:szCs w:val="24"/>
        </w:rPr>
        <w:t>This post forms part of the Projects and Services team to provide a clearly defined capacity to focus on project design and delivery as the Trust moves on to ambitious new challenges to retain or develop further community services and respond to challenges facing Tiree. These include:</w:t>
      </w:r>
    </w:p>
    <w:p w14:paraId="2095E331">
      <w:pPr>
        <w:pStyle w:val="14"/>
        <w:numPr>
          <w:ilvl w:val="0"/>
          <w:numId w:val="3"/>
        </w:numPr>
        <w:spacing w:before="240"/>
        <w:rPr>
          <w:rFonts w:cs="Arial"/>
          <w:szCs w:val="24"/>
        </w:rPr>
      </w:pPr>
      <w:r>
        <w:rPr>
          <w:rFonts w:cs="Arial"/>
          <w:szCs w:val="24"/>
        </w:rPr>
        <w:t>creating a step change in sustainable provision of housing for permanent residents</w:t>
      </w:r>
    </w:p>
    <w:p w14:paraId="31398BCB">
      <w:pPr>
        <w:pStyle w:val="14"/>
        <w:numPr>
          <w:ilvl w:val="0"/>
          <w:numId w:val="3"/>
        </w:numPr>
        <w:spacing w:before="240"/>
        <w:rPr>
          <w:rFonts w:cs="Arial"/>
          <w:szCs w:val="24"/>
        </w:rPr>
      </w:pPr>
      <w:r>
        <w:rPr>
          <w:rFonts w:cs="Arial"/>
          <w:szCs w:val="24"/>
        </w:rPr>
        <w:t>renewable energy / carbon-reduction projects</w:t>
      </w:r>
    </w:p>
    <w:p w14:paraId="07B4BF0B">
      <w:pPr>
        <w:pStyle w:val="14"/>
        <w:numPr>
          <w:ilvl w:val="0"/>
          <w:numId w:val="3"/>
        </w:numPr>
        <w:spacing w:before="240"/>
        <w:rPr>
          <w:rFonts w:cs="Arial"/>
          <w:szCs w:val="24"/>
        </w:rPr>
      </w:pPr>
      <w:r>
        <w:rPr>
          <w:rFonts w:cs="Arial"/>
          <w:szCs w:val="24"/>
        </w:rPr>
        <w:t>sustainable tourism</w:t>
      </w:r>
    </w:p>
    <w:p w14:paraId="4154B180">
      <w:pPr>
        <w:pStyle w:val="14"/>
        <w:numPr>
          <w:ilvl w:val="0"/>
          <w:numId w:val="3"/>
        </w:numPr>
        <w:spacing w:before="240"/>
        <w:rPr>
          <w:rFonts w:cs="Arial"/>
          <w:szCs w:val="24"/>
        </w:rPr>
      </w:pPr>
      <w:r>
        <w:rPr>
          <w:rFonts w:cs="Arial"/>
          <w:szCs w:val="24"/>
        </w:rPr>
        <w:t>economic development</w:t>
      </w:r>
    </w:p>
    <w:p w14:paraId="5D21659B">
      <w:pPr>
        <w:pStyle w:val="14"/>
        <w:numPr>
          <w:ilvl w:val="0"/>
          <w:numId w:val="3"/>
        </w:numPr>
        <w:spacing w:before="240"/>
        <w:rPr>
          <w:rFonts w:cs="Arial"/>
          <w:szCs w:val="24"/>
        </w:rPr>
      </w:pPr>
      <w:r>
        <w:rPr>
          <w:rFonts w:cs="Arial"/>
          <w:szCs w:val="24"/>
        </w:rPr>
        <w:t>exploring other potential income-generating projects to support the future financial sustainability of the development Trust and our community services</w:t>
      </w:r>
    </w:p>
    <w:p w14:paraId="5391D823">
      <w:pPr>
        <w:pStyle w:val="3"/>
        <w:rPr>
          <w:rFonts w:cs="Arial"/>
        </w:rPr>
      </w:pPr>
      <w:r>
        <w:rPr>
          <w:rFonts w:cs="Arial"/>
        </w:rPr>
        <w:t>Job description</w:t>
      </w:r>
    </w:p>
    <w:p w14:paraId="1BF6DCFE">
      <w:pPr>
        <w:spacing w:before="240"/>
        <w:rPr>
          <w:rFonts w:cs="Arial"/>
          <w:color w:val="000000"/>
          <w:szCs w:val="24"/>
        </w:rPr>
      </w:pPr>
      <w:r>
        <w:rPr>
          <w:rFonts w:cs="Arial"/>
          <w:color w:val="000000"/>
          <w:szCs w:val="24"/>
        </w:rPr>
        <w:t>The Community Projects Officer will (under the direction of the Head of Projects and Services) take a leading role in the design, coordination, and delivery of community projects.</w:t>
      </w:r>
    </w:p>
    <w:p w14:paraId="1E77746E">
      <w:pPr>
        <w:spacing w:before="240"/>
        <w:rPr>
          <w:rFonts w:cs="Arial"/>
          <w:color w:val="000000"/>
          <w:szCs w:val="24"/>
        </w:rPr>
      </w:pPr>
      <w:r>
        <w:rPr>
          <w:rFonts w:cs="Arial"/>
          <w:color w:val="000000"/>
          <w:szCs w:val="24"/>
        </w:rPr>
        <w:t xml:space="preserve">The role will involve coordinating multi-stakeholder projects, ensuring alignment with Urras Thiriodh's long-term strategy, and driving sustainable development through a human rights-based approach. The Community Projects Officer will be responsible for embedding “PANEL principles” </w:t>
      </w:r>
      <w:r>
        <w:rPr>
          <w:rFonts w:cs="Arial"/>
          <w:szCs w:val="24"/>
        </w:rPr>
        <w:t xml:space="preserve">(Participation, Accountability, Non-discrimination and Equality, Empowerment, and Legality) </w:t>
      </w:r>
      <w:r>
        <w:rPr>
          <w:rFonts w:cs="Arial"/>
          <w:color w:val="000000"/>
          <w:szCs w:val="24"/>
        </w:rPr>
        <w:t>in all relevant initiatives or otherwise ensuring inclusive and transparent decision-making processes that prioritise the needs of the community. This includes fostering engagement with individuals and groups furthest from the realisation of their human rights, such as those in fuel poverty.</w:t>
      </w:r>
    </w:p>
    <w:p w14:paraId="5620E102">
      <w:pPr>
        <w:spacing w:before="240"/>
        <w:rPr>
          <w:rFonts w:cs="Arial"/>
          <w:color w:val="000000"/>
          <w:szCs w:val="24"/>
        </w:rPr>
      </w:pPr>
      <w:r>
        <w:rPr>
          <w:rFonts w:cs="Arial"/>
          <w:color w:val="000000"/>
          <w:szCs w:val="24"/>
        </w:rPr>
        <w:t>The community projects officer will be a key contributor to Urras Thiriodh's continued focus on addressing community challenges, driving forward projects that reflect the immediate and future needs of Tiree.</w:t>
      </w:r>
    </w:p>
    <w:p w14:paraId="55BD299F">
      <w:pPr>
        <w:pStyle w:val="3"/>
        <w:rPr>
          <w:rFonts w:cs="Arial"/>
        </w:rPr>
      </w:pPr>
      <w:r>
        <w:rPr>
          <w:rFonts w:cs="Arial"/>
        </w:rPr>
        <w:t>Key interfaces</w:t>
      </w:r>
    </w:p>
    <w:p w14:paraId="7DAD0E0F">
      <w:pPr>
        <w:spacing w:before="240"/>
        <w:ind w:left="720"/>
        <w:rPr>
          <w:rFonts w:cs="Arial"/>
          <w:b/>
          <w:bCs/>
          <w:color w:val="000000"/>
          <w:szCs w:val="24"/>
        </w:rPr>
      </w:pPr>
      <w:r>
        <w:rPr>
          <w:rFonts w:cs="Arial"/>
          <w:b/>
          <w:bCs/>
          <w:color w:val="000000"/>
          <w:szCs w:val="24"/>
        </w:rPr>
        <w:t xml:space="preserve">Head of Projects and Services - </w:t>
      </w:r>
      <w:r>
        <w:rPr>
          <w:rFonts w:cs="Arial"/>
          <w:color w:val="000000"/>
          <w:szCs w:val="24"/>
        </w:rPr>
        <w:t>Provides direct line management and guidance. You will report to the Head of Projects and Services on delivery progress, contribute to project planning, problem-solving, and future development of Urras Thiriodh’s project portfolio.</w:t>
      </w:r>
    </w:p>
    <w:p w14:paraId="70F63A9A">
      <w:pPr>
        <w:spacing w:before="240"/>
        <w:ind w:left="720"/>
        <w:rPr>
          <w:rFonts w:cs="Arial"/>
          <w:color w:val="000000"/>
          <w:szCs w:val="24"/>
        </w:rPr>
      </w:pPr>
      <w:r>
        <w:rPr>
          <w:rFonts w:cs="Arial"/>
          <w:b/>
          <w:bCs/>
          <w:color w:val="000000"/>
          <w:szCs w:val="24"/>
        </w:rPr>
        <w:t>Community Services Officer</w:t>
      </w:r>
      <w:r>
        <w:rPr>
          <w:rFonts w:cs="Arial"/>
          <w:color w:val="000000"/>
          <w:szCs w:val="24"/>
        </w:rPr>
        <w:t xml:space="preserve"> – This role also sits within the Projects and Services Team and plays a sister role alongside the CPO post, but with a focus on our commercial trading activity and services. You will often work in mutual support with them.</w:t>
      </w:r>
    </w:p>
    <w:p w14:paraId="0DF3A909">
      <w:pPr>
        <w:spacing w:before="240"/>
        <w:ind w:left="720"/>
        <w:rPr>
          <w:rFonts w:cs="Arial"/>
          <w:color w:val="000000"/>
          <w:szCs w:val="24"/>
        </w:rPr>
      </w:pPr>
      <w:r>
        <w:rPr>
          <w:rFonts w:cs="Arial"/>
          <w:b/>
          <w:bCs/>
          <w:color w:val="000000"/>
          <w:szCs w:val="24"/>
        </w:rPr>
        <w:t xml:space="preserve">Services Assistant – </w:t>
      </w:r>
      <w:r>
        <w:rPr>
          <w:rFonts w:cs="Arial"/>
          <w:color w:val="000000"/>
          <w:szCs w:val="24"/>
        </w:rPr>
        <w:t>Another member of the Projects and Services Team who carries out maintenance of Trust Group assets and plays a major role in delivering our Domestic Energy Assessment (EPC) services, Electrical Equipment Testing (PAT) service, etc.</w:t>
      </w:r>
    </w:p>
    <w:p w14:paraId="29E63BDB">
      <w:pPr>
        <w:spacing w:before="240"/>
        <w:ind w:left="720"/>
        <w:rPr>
          <w:rFonts w:cs="Arial"/>
          <w:color w:val="000000"/>
          <w:szCs w:val="24"/>
        </w:rPr>
      </w:pPr>
      <w:r>
        <w:rPr>
          <w:rFonts w:cs="Arial"/>
          <w:b/>
          <w:bCs/>
          <w:color w:val="000000"/>
          <w:szCs w:val="24"/>
        </w:rPr>
        <w:t>Chief Executive Officer</w:t>
      </w:r>
      <w:r>
        <w:rPr>
          <w:rFonts w:cs="Arial"/>
          <w:color w:val="000000"/>
          <w:szCs w:val="24"/>
        </w:rPr>
        <w:t xml:space="preserve"> – Provides overall strategic direction. You may engage directly on high-level project updates, cross-subsidiary collaboration, and input into strategic planning, particularly where your projects align with wider Urras Thiriodh priorities.</w:t>
      </w:r>
    </w:p>
    <w:p w14:paraId="08C02F83">
      <w:pPr>
        <w:spacing w:before="240"/>
        <w:ind w:left="720"/>
        <w:rPr>
          <w:rFonts w:cs="Arial"/>
          <w:color w:val="000000"/>
          <w:szCs w:val="24"/>
        </w:rPr>
      </w:pPr>
      <w:r>
        <w:rPr>
          <w:rFonts w:cs="Arial"/>
          <w:b/>
          <w:bCs/>
          <w:color w:val="000000"/>
          <w:szCs w:val="24"/>
        </w:rPr>
        <w:t>Head of Community Engagement –</w:t>
      </w:r>
      <w:r>
        <w:rPr>
          <w:rFonts w:cs="Arial"/>
          <w:color w:val="000000"/>
          <w:szCs w:val="24"/>
        </w:rPr>
        <w:t xml:space="preserve"> Leads the Community Engagement team, which focusses on our ongoing charitable/community service provision, and also takes a lead on communications and marketing of Trust Group activity. Will liaise on community engagement work, review and updating of the Community Development Plan, etc. Their team includes the Youth Activities team, Ranger and Community Support Officer.</w:t>
      </w:r>
    </w:p>
    <w:p w14:paraId="6AEE70AE">
      <w:pPr>
        <w:spacing w:before="240"/>
        <w:ind w:left="720"/>
        <w:rPr>
          <w:rFonts w:cs="Arial"/>
          <w:color w:val="000000"/>
          <w:szCs w:val="24"/>
        </w:rPr>
      </w:pPr>
      <w:r>
        <w:rPr>
          <w:rFonts w:cs="Arial"/>
          <w:b/>
          <w:bCs/>
          <w:color w:val="000000"/>
          <w:szCs w:val="24"/>
        </w:rPr>
        <w:t>Finance &amp; HR Officer</w:t>
      </w:r>
      <w:r>
        <w:rPr>
          <w:rFonts w:cs="Arial"/>
          <w:color w:val="000000"/>
          <w:szCs w:val="24"/>
        </w:rPr>
        <w:t xml:space="preserve"> - Work together to manage project budgets, process payments or funding claims, and ensure compliance with employment or procurement policies as projects grow or involve external consultants.</w:t>
      </w:r>
    </w:p>
    <w:p w14:paraId="29B43311">
      <w:pPr>
        <w:spacing w:before="240"/>
        <w:ind w:left="720"/>
        <w:rPr>
          <w:rFonts w:cs="Arial"/>
          <w:color w:val="000000"/>
          <w:szCs w:val="24"/>
        </w:rPr>
      </w:pPr>
      <w:r>
        <w:rPr>
          <w:rFonts w:cs="Arial"/>
          <w:b/>
          <w:bCs/>
          <w:color w:val="000000"/>
          <w:szCs w:val="24"/>
        </w:rPr>
        <w:t>Trust Board, Subsidiary Boards, project Working Groups</w:t>
      </w:r>
      <w:r>
        <w:rPr>
          <w:rFonts w:cs="Arial"/>
          <w:color w:val="000000"/>
          <w:szCs w:val="24"/>
        </w:rPr>
        <w:t xml:space="preserve"> - Provide reports, recommendations, and updates to governance bodies. You may attend meetings, respond to queries, and seek approval for key decisions in line with governance structures.</w:t>
      </w:r>
    </w:p>
    <w:p w14:paraId="37BBADAB">
      <w:pPr>
        <w:spacing w:before="240"/>
        <w:ind w:left="720"/>
        <w:rPr>
          <w:rFonts w:cs="Arial"/>
          <w:color w:val="000000"/>
          <w:szCs w:val="24"/>
        </w:rPr>
      </w:pPr>
      <w:r>
        <w:rPr>
          <w:rFonts w:cs="Arial"/>
          <w:b/>
          <w:bCs/>
          <w:color w:val="000000"/>
          <w:szCs w:val="24"/>
        </w:rPr>
        <w:t>Tiree Community</w:t>
      </w:r>
      <w:r>
        <w:rPr>
          <w:rFonts w:cs="Arial"/>
          <w:color w:val="000000"/>
          <w:szCs w:val="24"/>
        </w:rPr>
        <w:t xml:space="preserve"> – Central to your work. You engage directly with residents, volunteers, and local partners to co-develop, consult on, and deliver projects that meet community needs - with a particular focus on inclusion, sustainability, and human rights.</w:t>
      </w:r>
    </w:p>
    <w:p w14:paraId="2E5F0B99">
      <w:pPr>
        <w:spacing w:before="240"/>
        <w:rPr>
          <w:rFonts w:cs="Arial"/>
          <w:color w:val="000000"/>
          <w:szCs w:val="24"/>
        </w:rPr>
      </w:pPr>
    </w:p>
    <w:p w14:paraId="06887150">
      <w:pPr>
        <w:pStyle w:val="3"/>
        <w:rPr>
          <w:rFonts w:cs="Arial"/>
        </w:rPr>
      </w:pPr>
      <w:r>
        <w:rPr>
          <w:rFonts w:cs="Arial"/>
        </w:rPr>
        <w:t>Key outcomes of the post</w:t>
      </w:r>
    </w:p>
    <w:p w14:paraId="198CFC54">
      <w:pPr>
        <w:spacing w:before="240"/>
        <w:rPr>
          <w:rFonts w:cs="Arial"/>
          <w:color w:val="000000"/>
          <w:szCs w:val="24"/>
        </w:rPr>
      </w:pPr>
      <w:r>
        <w:rPr>
          <w:rFonts w:cs="Arial"/>
          <w:color w:val="000000"/>
          <w:szCs w:val="24"/>
        </w:rPr>
        <w:t xml:space="preserve">As a projects-focused role, priorities and responsibilities will evolve over time in response to organisational objectives (including those outlined in the Community Development Plan) and funding opportunities. There is an expectation for the CPO to work flexibly across a range of projects and services as required. </w:t>
      </w:r>
    </w:p>
    <w:p w14:paraId="122DD5EE">
      <w:pPr>
        <w:spacing w:before="240"/>
        <w:rPr>
          <w:rFonts w:cs="Arial"/>
          <w:color w:val="000000"/>
          <w:szCs w:val="24"/>
        </w:rPr>
      </w:pPr>
      <w:r>
        <w:rPr>
          <w:rFonts w:cs="Arial"/>
          <w:color w:val="000000"/>
          <w:szCs w:val="24"/>
        </w:rPr>
        <w:t>You will lead on assigned project work areas, from development through to delivery that improves the sustainability, resilience, and wellbeing of the community – including (but not limited to) projects focused on renewable energy, housing, transport, childcare, and community infrastructure.</w:t>
      </w:r>
    </w:p>
    <w:p w14:paraId="2374CB56">
      <w:pPr>
        <w:spacing w:before="240"/>
        <w:rPr>
          <w:rFonts w:cs="Arial"/>
          <w:color w:val="000000"/>
          <w:szCs w:val="24"/>
        </w:rPr>
      </w:pPr>
      <w:r>
        <w:rPr>
          <w:rFonts w:cs="Arial"/>
          <w:color w:val="000000"/>
          <w:szCs w:val="24"/>
        </w:rPr>
        <w:t>You will gather and analyse data to inform project development, measure impact, identify need, and support funding applications.</w:t>
      </w:r>
    </w:p>
    <w:p w14:paraId="352D968E">
      <w:pPr>
        <w:spacing w:before="240"/>
        <w:rPr>
          <w:rFonts w:cs="Arial"/>
          <w:color w:val="000000"/>
          <w:szCs w:val="24"/>
        </w:rPr>
      </w:pPr>
      <w:r>
        <w:rPr>
          <w:rFonts w:cs="Arial"/>
          <w:color w:val="000000"/>
          <w:szCs w:val="24"/>
        </w:rPr>
        <w:t xml:space="preserve">You will embed a human rights-based approach, applying PANEL principles to support inclusive engagement and transparent decision making. </w:t>
      </w:r>
    </w:p>
    <w:p w14:paraId="46C81206">
      <w:pPr>
        <w:spacing w:before="240"/>
        <w:rPr>
          <w:rFonts w:cs="Arial"/>
          <w:color w:val="000000"/>
          <w:szCs w:val="24"/>
        </w:rPr>
      </w:pPr>
      <w:r>
        <w:rPr>
          <w:rFonts w:cs="Arial"/>
          <w:color w:val="000000"/>
          <w:szCs w:val="24"/>
        </w:rPr>
        <w:t xml:space="preserve">Ongoing project work currently includes: </w:t>
      </w:r>
    </w:p>
    <w:p w14:paraId="340F8327">
      <w:pPr>
        <w:spacing w:before="240"/>
        <w:rPr>
          <w:rFonts w:cs="Arial"/>
          <w:color w:val="000000"/>
          <w:szCs w:val="24"/>
        </w:rPr>
      </w:pPr>
      <w:r>
        <w:rPr>
          <w:rFonts w:cs="Arial"/>
          <w:color w:val="000000"/>
          <w:szCs w:val="24"/>
        </w:rPr>
        <w:t>Working to facilitate measurable improvements to the energy efficiency of Tiree’s existing housing stock to reduce household carbon emissions, support lower fuel bills, and inform future retrofit planning and funding bids.</w:t>
      </w:r>
    </w:p>
    <w:p w14:paraId="2163F201">
      <w:pPr>
        <w:spacing w:before="240"/>
        <w:rPr>
          <w:rFonts w:cs="Arial"/>
          <w:szCs w:val="24"/>
        </w:rPr>
      </w:pPr>
      <w:r>
        <w:rPr>
          <w:rFonts w:cs="Arial"/>
          <w:szCs w:val="24"/>
        </w:rPr>
        <w:t>Developing plans to deliver community housing projects that will increase the availability of affordable housing for permanent residents in Tiree.</w:t>
      </w:r>
    </w:p>
    <w:p w14:paraId="02A33D5B">
      <w:pPr>
        <w:spacing w:before="240"/>
        <w:rPr>
          <w:rFonts w:cs="Arial"/>
          <w:szCs w:val="24"/>
        </w:rPr>
      </w:pPr>
      <w:r>
        <w:rPr>
          <w:rFonts w:cs="Arial"/>
          <w:szCs w:val="24"/>
        </w:rPr>
        <w:t>Exploring, evaluating, and implementing repowering options for our community wind turbine, including actively developing solar PV projects and battery storage.</w:t>
      </w:r>
    </w:p>
    <w:p w14:paraId="0F1A7C23">
      <w:pPr>
        <w:pStyle w:val="3"/>
        <w:rPr>
          <w:rFonts w:cs="Arial"/>
        </w:rPr>
      </w:pPr>
      <w:r>
        <w:rPr>
          <w:rFonts w:cs="Arial"/>
        </w:rPr>
        <w:t>Key tasks</w:t>
      </w:r>
    </w:p>
    <w:p w14:paraId="1FF7617C">
      <w:pPr>
        <w:spacing w:before="240"/>
        <w:rPr>
          <w:rFonts w:cs="Arial"/>
          <w:szCs w:val="24"/>
        </w:rPr>
      </w:pPr>
      <w:r>
        <w:rPr>
          <w:rFonts w:cs="Arial"/>
          <w:b/>
          <w:bCs/>
          <w:szCs w:val="24"/>
        </w:rPr>
        <w:t>Role-specific tasks:</w:t>
      </w:r>
    </w:p>
    <w:p w14:paraId="0ABC87E5">
      <w:pPr>
        <w:pStyle w:val="14"/>
        <w:numPr>
          <w:ilvl w:val="0"/>
          <w:numId w:val="4"/>
        </w:numPr>
        <w:spacing w:before="240"/>
        <w:rPr>
          <w:rFonts w:cs="Arial"/>
          <w:color w:val="000000"/>
          <w:szCs w:val="24"/>
        </w:rPr>
      </w:pPr>
      <w:r>
        <w:rPr>
          <w:rFonts w:cs="Arial"/>
          <w:color w:val="000000"/>
          <w:szCs w:val="24"/>
        </w:rPr>
        <w:t>Follow the Community Development Plan and the strategic direction set by the Trust Board to deliver agreed community projects.</w:t>
      </w:r>
    </w:p>
    <w:p w14:paraId="7DB61AAE">
      <w:pPr>
        <w:pStyle w:val="14"/>
        <w:numPr>
          <w:ilvl w:val="0"/>
          <w:numId w:val="4"/>
        </w:numPr>
        <w:spacing w:before="240"/>
        <w:rPr>
          <w:rFonts w:cs="Arial"/>
          <w:color w:val="000000"/>
          <w:szCs w:val="24"/>
        </w:rPr>
      </w:pPr>
      <w:r>
        <w:rPr>
          <w:rFonts w:cs="Arial"/>
          <w:color w:val="000000"/>
          <w:szCs w:val="24"/>
        </w:rPr>
        <w:t>Check feasibility, initiate projects, identify potential funding sources, develop budgets, and determine resource requirements.</w:t>
      </w:r>
    </w:p>
    <w:p w14:paraId="4E2A71C8">
      <w:pPr>
        <w:pStyle w:val="14"/>
        <w:numPr>
          <w:ilvl w:val="0"/>
          <w:numId w:val="4"/>
        </w:numPr>
        <w:spacing w:before="240"/>
        <w:rPr>
          <w:rFonts w:cs="Arial"/>
          <w:color w:val="000000"/>
          <w:szCs w:val="24"/>
        </w:rPr>
      </w:pPr>
      <w:r>
        <w:rPr>
          <w:rFonts w:cs="Arial"/>
          <w:color w:val="000000"/>
          <w:szCs w:val="24"/>
        </w:rPr>
        <w:t>Secure project funding with support from the Head of Projects and Services and Chief Exec.</w:t>
      </w:r>
    </w:p>
    <w:p w14:paraId="4D5BE723">
      <w:pPr>
        <w:pStyle w:val="14"/>
        <w:numPr>
          <w:ilvl w:val="0"/>
          <w:numId w:val="4"/>
        </w:numPr>
        <w:spacing w:before="240"/>
        <w:rPr>
          <w:rFonts w:cs="Arial"/>
          <w:color w:val="000000"/>
          <w:szCs w:val="24"/>
        </w:rPr>
      </w:pPr>
      <w:r>
        <w:rPr>
          <w:rFonts w:cs="Arial"/>
          <w:color w:val="000000"/>
          <w:szCs w:val="24"/>
        </w:rPr>
        <w:t>Develop project plans including defined deliverables, goals and objectives, risk assessments, schedules, and timescales.</w:t>
      </w:r>
    </w:p>
    <w:p w14:paraId="4E3C502F">
      <w:pPr>
        <w:pStyle w:val="14"/>
        <w:numPr>
          <w:ilvl w:val="0"/>
          <w:numId w:val="4"/>
        </w:numPr>
        <w:spacing w:before="240"/>
        <w:rPr>
          <w:rFonts w:cs="Arial"/>
          <w:szCs w:val="24"/>
        </w:rPr>
      </w:pPr>
      <w:r>
        <w:rPr>
          <w:rFonts w:cs="Arial"/>
          <w:color w:val="000000"/>
          <w:szCs w:val="24"/>
        </w:rPr>
        <w:t>Implement, monitor and adapt project delivery through its full lifecycle, including:</w:t>
      </w:r>
    </w:p>
    <w:p w14:paraId="5B978482">
      <w:pPr>
        <w:pStyle w:val="14"/>
        <w:numPr>
          <w:ilvl w:val="0"/>
          <w:numId w:val="5"/>
        </w:numPr>
        <w:spacing w:before="240"/>
        <w:rPr>
          <w:rFonts w:cs="Arial"/>
          <w:szCs w:val="24"/>
        </w:rPr>
      </w:pPr>
      <w:r>
        <w:rPr>
          <w:rFonts w:cs="Arial"/>
          <w:szCs w:val="24"/>
        </w:rPr>
        <w:t>Progress tracking and reporting to the CEO and relevant Boards or project working groups.</w:t>
      </w:r>
    </w:p>
    <w:p w14:paraId="3CD945DF">
      <w:pPr>
        <w:pStyle w:val="14"/>
        <w:numPr>
          <w:ilvl w:val="0"/>
          <w:numId w:val="5"/>
        </w:numPr>
        <w:spacing w:before="240"/>
        <w:rPr>
          <w:rFonts w:cs="Arial"/>
          <w:szCs w:val="24"/>
        </w:rPr>
      </w:pPr>
      <w:r>
        <w:rPr>
          <w:rFonts w:cs="Arial"/>
          <w:szCs w:val="24"/>
        </w:rPr>
        <w:t>Managing change control processes to ensure the best possible project outcomes.</w:t>
      </w:r>
    </w:p>
    <w:p w14:paraId="4F435A66">
      <w:pPr>
        <w:pStyle w:val="14"/>
        <w:numPr>
          <w:ilvl w:val="0"/>
          <w:numId w:val="5"/>
        </w:numPr>
        <w:spacing w:before="240"/>
        <w:rPr>
          <w:rFonts w:cs="Arial"/>
          <w:szCs w:val="24"/>
        </w:rPr>
      </w:pPr>
      <w:r>
        <w:rPr>
          <w:rFonts w:cs="Arial"/>
          <w:szCs w:val="24"/>
        </w:rPr>
        <w:t>Conducting post-project reviews and completing all required funder reporting.</w:t>
      </w:r>
    </w:p>
    <w:p w14:paraId="11C6FB71">
      <w:pPr>
        <w:pStyle w:val="14"/>
        <w:numPr>
          <w:ilvl w:val="0"/>
          <w:numId w:val="4"/>
        </w:numPr>
        <w:spacing w:before="240"/>
        <w:rPr>
          <w:rFonts w:cs="Arial"/>
          <w:color w:val="000000"/>
          <w:szCs w:val="24"/>
        </w:rPr>
      </w:pPr>
      <w:r>
        <w:rPr>
          <w:rFonts w:cs="Arial"/>
          <w:color w:val="000000"/>
          <w:szCs w:val="24"/>
        </w:rPr>
        <w:t>Maintain and update project governance documentation, including risk registers, logs, and compliance records.</w:t>
      </w:r>
    </w:p>
    <w:p w14:paraId="19A8C5C4">
      <w:pPr>
        <w:pStyle w:val="14"/>
        <w:numPr>
          <w:ilvl w:val="0"/>
          <w:numId w:val="4"/>
        </w:numPr>
        <w:spacing w:before="240"/>
        <w:rPr>
          <w:rFonts w:cs="Arial"/>
          <w:color w:val="000000"/>
          <w:szCs w:val="24"/>
        </w:rPr>
      </w:pPr>
      <w:r>
        <w:rPr>
          <w:rFonts w:cs="Arial"/>
          <w:color w:val="000000"/>
          <w:szCs w:val="24"/>
        </w:rPr>
        <w:t>Facilitate and motivate project teams (including staff, Directors, volunteers, contractors, and funders), ensuring good governance and clear communication.</w:t>
      </w:r>
    </w:p>
    <w:p w14:paraId="7AB7AE04">
      <w:pPr>
        <w:pStyle w:val="14"/>
        <w:numPr>
          <w:ilvl w:val="0"/>
          <w:numId w:val="4"/>
        </w:numPr>
        <w:spacing w:before="240"/>
        <w:rPr>
          <w:rFonts w:cs="Arial"/>
          <w:color w:val="000000"/>
          <w:szCs w:val="24"/>
        </w:rPr>
      </w:pPr>
      <w:r>
        <w:rPr>
          <w:rFonts w:cs="Arial"/>
          <w:color w:val="000000"/>
          <w:szCs w:val="24"/>
        </w:rPr>
        <w:t>Carry out or support community consultation and engagement where required.</w:t>
      </w:r>
    </w:p>
    <w:p w14:paraId="01A67104">
      <w:pPr>
        <w:pStyle w:val="12"/>
        <w:numPr>
          <w:ilvl w:val="0"/>
          <w:numId w:val="0"/>
        </w:numPr>
        <w:spacing w:before="240"/>
        <w:rPr>
          <w:rFonts w:ascii="Arial" w:hAnsi="Arial" w:cs="Arial"/>
          <w:sz w:val="24"/>
          <w:szCs w:val="24"/>
          <w:lang w:val="en-GB"/>
        </w:rPr>
      </w:pPr>
    </w:p>
    <w:p w14:paraId="65D44AF9">
      <w:pPr>
        <w:pStyle w:val="12"/>
        <w:numPr>
          <w:ilvl w:val="0"/>
          <w:numId w:val="0"/>
        </w:numPr>
        <w:spacing w:before="240"/>
        <w:ind w:left="360" w:hanging="360"/>
        <w:rPr>
          <w:rFonts w:ascii="Arial" w:hAnsi="Arial" w:cs="Arial"/>
          <w:sz w:val="24"/>
          <w:szCs w:val="24"/>
          <w:lang w:val="en-GB"/>
        </w:rPr>
      </w:pPr>
      <w:r>
        <w:rPr>
          <w:rFonts w:ascii="Arial" w:hAnsi="Arial" w:cs="Arial"/>
          <w:sz w:val="24"/>
          <w:szCs w:val="24"/>
          <w:lang w:val="en-GB"/>
        </w:rPr>
        <w:t>Community Engagement &amp; Human Rights-Based Practice</w:t>
      </w:r>
    </w:p>
    <w:p w14:paraId="0313262A">
      <w:pPr>
        <w:pStyle w:val="12"/>
        <w:numPr>
          <w:ilvl w:val="0"/>
          <w:numId w:val="0"/>
        </w:numPr>
        <w:spacing w:before="240"/>
        <w:ind w:left="360" w:hanging="360"/>
        <w:rPr>
          <w:rFonts w:ascii="Arial" w:hAnsi="Arial" w:cs="Arial"/>
          <w:sz w:val="24"/>
          <w:szCs w:val="24"/>
          <w:lang w:val="en-GB"/>
        </w:rPr>
      </w:pPr>
    </w:p>
    <w:p w14:paraId="2A1E981F">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Embed the PANEL principles (Participation, Accountability, Non-discrimination and Equality, Empowerment, and Legality) into relevant project work.</w:t>
      </w:r>
    </w:p>
    <w:p w14:paraId="72BE9B00">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Proactively design and implement inclusive engagement strategies to ensure meaningful involvement of individuals and groups furthest from the realisation of their human rights.</w:t>
      </w:r>
    </w:p>
    <w:p w14:paraId="154D429E">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Support the development and delivery of communication materials (e.g. newsletters, social media updates, reports, public meetings) to promote transparency, accountability, and community awareness.</w:t>
      </w:r>
    </w:p>
    <w:p w14:paraId="2BBFE41E">
      <w:pPr>
        <w:pStyle w:val="12"/>
        <w:numPr>
          <w:ilvl w:val="0"/>
          <w:numId w:val="0"/>
        </w:numPr>
        <w:spacing w:before="240"/>
        <w:ind w:left="360" w:hanging="360"/>
        <w:rPr>
          <w:rFonts w:ascii="Arial" w:hAnsi="Arial" w:cs="Arial"/>
          <w:sz w:val="24"/>
          <w:szCs w:val="24"/>
          <w:lang w:val="en-GB"/>
        </w:rPr>
      </w:pPr>
    </w:p>
    <w:p w14:paraId="5001655D">
      <w:pPr>
        <w:pStyle w:val="12"/>
        <w:numPr>
          <w:ilvl w:val="0"/>
          <w:numId w:val="0"/>
        </w:numPr>
        <w:spacing w:before="240"/>
        <w:ind w:left="360" w:hanging="360"/>
        <w:rPr>
          <w:rFonts w:ascii="Arial" w:hAnsi="Arial" w:cs="Arial"/>
          <w:sz w:val="24"/>
          <w:szCs w:val="24"/>
          <w:lang w:val="en-GB"/>
        </w:rPr>
      </w:pPr>
      <w:r>
        <w:rPr>
          <w:rFonts w:ascii="Arial" w:hAnsi="Arial" w:cs="Arial"/>
          <w:sz w:val="24"/>
          <w:szCs w:val="24"/>
          <w:lang w:val="en-GB"/>
        </w:rPr>
        <w:t>Partnerships, Representation, and Advocacy</w:t>
      </w:r>
    </w:p>
    <w:p w14:paraId="214285D7">
      <w:pPr>
        <w:pStyle w:val="12"/>
        <w:numPr>
          <w:ilvl w:val="0"/>
          <w:numId w:val="0"/>
        </w:numPr>
        <w:spacing w:before="240"/>
        <w:ind w:left="360" w:hanging="360"/>
        <w:rPr>
          <w:rFonts w:ascii="Arial" w:hAnsi="Arial" w:cs="Arial"/>
          <w:sz w:val="24"/>
          <w:szCs w:val="24"/>
          <w:lang w:val="en-GB"/>
        </w:rPr>
      </w:pPr>
    </w:p>
    <w:p w14:paraId="609A82F1">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Represent the Trust in external stakeholder groups, sector networks, and policy forums relevant to your areas of work.</w:t>
      </w:r>
    </w:p>
    <w:p w14:paraId="229E2F72">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Build and maintain constructive relationships with key external partners, including funders, local authorities, regulators, and other community organisations.</w:t>
      </w:r>
    </w:p>
    <w:p w14:paraId="298EDE5D">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Advocate for the interests of Tiree’s community in external consultations or negotiations where appropriate.</w:t>
      </w:r>
    </w:p>
    <w:p w14:paraId="1A90E87E">
      <w:pPr>
        <w:pStyle w:val="12"/>
        <w:numPr>
          <w:ilvl w:val="0"/>
          <w:numId w:val="0"/>
        </w:numPr>
        <w:spacing w:before="240"/>
        <w:ind w:left="360" w:hanging="360"/>
        <w:rPr>
          <w:rFonts w:ascii="Arial" w:hAnsi="Arial" w:cs="Arial"/>
          <w:sz w:val="24"/>
          <w:szCs w:val="24"/>
          <w:lang w:val="en-GB"/>
        </w:rPr>
      </w:pPr>
    </w:p>
    <w:p w14:paraId="68F5673B">
      <w:pPr>
        <w:pStyle w:val="12"/>
        <w:numPr>
          <w:ilvl w:val="0"/>
          <w:numId w:val="0"/>
        </w:numPr>
        <w:spacing w:before="240"/>
        <w:ind w:left="360" w:hanging="360"/>
        <w:rPr>
          <w:rFonts w:ascii="Arial" w:hAnsi="Arial" w:cs="Arial"/>
          <w:sz w:val="24"/>
          <w:szCs w:val="24"/>
          <w:lang w:val="en-GB"/>
        </w:rPr>
      </w:pPr>
      <w:r>
        <w:rPr>
          <w:rFonts w:ascii="Arial" w:hAnsi="Arial" w:cs="Arial"/>
          <w:sz w:val="24"/>
          <w:szCs w:val="24"/>
          <w:lang w:val="en-GB"/>
        </w:rPr>
        <w:t>Organisational and Cross-Team Support</w:t>
      </w:r>
    </w:p>
    <w:p w14:paraId="29862D48">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Attend meetings to provide updates to the Trust and subsidiary Boards and the wider community.</w:t>
      </w:r>
    </w:p>
    <w:p w14:paraId="1B83FDBF">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Contribute to organisational learning by sharing insights and documenting lessons learned from projects.</w:t>
      </w:r>
    </w:p>
    <w:p w14:paraId="31AA5304">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Participate in staff duty rotas as required to support the running of Trust-operated services (e.g. the community fuel station).</w:t>
      </w:r>
    </w:p>
    <w:p w14:paraId="6B9CEE62">
      <w:pPr>
        <w:pStyle w:val="12"/>
        <w:tabs>
          <w:tab w:val="left" w:pos="720"/>
          <w:tab w:val="clear" w:pos="360"/>
        </w:tabs>
        <w:spacing w:before="240"/>
        <w:ind w:left="720"/>
        <w:rPr>
          <w:rFonts w:ascii="Arial" w:hAnsi="Arial" w:cs="Arial"/>
          <w:sz w:val="24"/>
          <w:szCs w:val="24"/>
          <w:lang w:val="en-GB"/>
        </w:rPr>
      </w:pPr>
      <w:r>
        <w:rPr>
          <w:rFonts w:ascii="Arial" w:hAnsi="Arial" w:cs="Arial"/>
          <w:sz w:val="24"/>
          <w:szCs w:val="24"/>
          <w:lang w:val="en-GB"/>
        </w:rPr>
        <w:t>Carry out any other duties that may arise from time to time, relevant to your role or in support of the wider Trust staff and volunteer team.</w:t>
      </w:r>
    </w:p>
    <w:p w14:paraId="5804FF26">
      <w:pPr>
        <w:rPr>
          <w:b/>
          <w:bCs/>
          <w:color w:val="000000"/>
        </w:rPr>
      </w:pPr>
      <w:r>
        <w:rPr>
          <w:b/>
          <w:bCs/>
          <w:color w:val="000000"/>
        </w:rPr>
        <w:t>General team tasks:</w:t>
      </w:r>
    </w:p>
    <w:p w14:paraId="52BD323D">
      <w:pPr>
        <w:rPr>
          <w:color w:val="000000"/>
        </w:rPr>
      </w:pPr>
      <w:r>
        <w:rPr>
          <w:color w:val="000000"/>
        </w:rPr>
        <w:t>We are a small team in a diverse community development setting and there is a general expectation for all of our roles that, from time to time, we support each other in areas that might not form a main part of all job descriptions (e.g. for organisational events, responding to support requests for services we operate, etc). The Trust Office incorporates a Visitors Centre, and we regularly have drop-in visitors, or incoming telephone calls. We also provide call-out response to the community filling station and are occasionally asked to assist customers in using it. Staff are expected, when needed (and subject to appropriate training, etc), to “pitch-in”, referring to others for support as necessary.</w:t>
      </w:r>
    </w:p>
    <w:p w14:paraId="3F3D3B68">
      <w:pPr>
        <w:rPr>
          <w:color w:val="000000"/>
        </w:rPr>
      </w:pPr>
      <w:r>
        <w:rPr>
          <w:color w:val="000000"/>
        </w:rPr>
        <w:t>Common tasks for all Trust staff when in the office and/or on duty:</w:t>
      </w:r>
    </w:p>
    <w:p w14:paraId="2B1CD82E">
      <w:pPr>
        <w:pStyle w:val="14"/>
        <w:numPr>
          <w:ilvl w:val="0"/>
          <w:numId w:val="6"/>
        </w:numPr>
        <w:rPr>
          <w:color w:val="000000"/>
        </w:rPr>
      </w:pPr>
      <w:r>
        <w:rPr>
          <w:color w:val="000000"/>
        </w:rPr>
        <w:t>Welcome visitors</w:t>
      </w:r>
    </w:p>
    <w:p w14:paraId="0C9E168F">
      <w:pPr>
        <w:pStyle w:val="14"/>
        <w:numPr>
          <w:ilvl w:val="0"/>
          <w:numId w:val="6"/>
        </w:numPr>
        <w:rPr>
          <w:color w:val="000000"/>
        </w:rPr>
      </w:pPr>
      <w:r>
        <w:rPr>
          <w:color w:val="000000"/>
        </w:rPr>
        <w:t>Answer phone</w:t>
      </w:r>
    </w:p>
    <w:p w14:paraId="27D4281E">
      <w:pPr>
        <w:pStyle w:val="14"/>
        <w:numPr>
          <w:ilvl w:val="0"/>
          <w:numId w:val="6"/>
        </w:numPr>
        <w:rPr>
          <w:color w:val="000000"/>
        </w:rPr>
      </w:pPr>
      <w:r>
        <w:rPr>
          <w:color w:val="000000"/>
        </w:rPr>
        <w:t>Deal with deliveries</w:t>
      </w:r>
    </w:p>
    <w:p w14:paraId="1113DB45">
      <w:pPr>
        <w:pStyle w:val="14"/>
        <w:numPr>
          <w:ilvl w:val="0"/>
          <w:numId w:val="6"/>
        </w:numPr>
        <w:rPr>
          <w:color w:val="000000"/>
        </w:rPr>
      </w:pPr>
      <w:r>
        <w:rPr>
          <w:color w:val="000000"/>
        </w:rPr>
        <w:t>Respond to support calls for the community filling station (training provided)</w:t>
      </w:r>
    </w:p>
    <w:p w14:paraId="41CFADC6">
      <w:pPr>
        <w:rPr>
          <w:sz w:val="20"/>
          <w:szCs w:val="20"/>
        </w:rPr>
      </w:pPr>
      <w:r>
        <w:t>Beyond this, it is the nature of a small community that you may be asked about Trust work when out of the office, and should handle such enquiries in an appropriate way, while managing your own work-life balance – referring enquiries to appropriate channels where this is more suitable.</w:t>
      </w:r>
    </w:p>
    <w:p w14:paraId="574A5840">
      <w:pPr>
        <w:rPr>
          <w:sz w:val="20"/>
          <w:szCs w:val="20"/>
        </w:rPr>
      </w:pPr>
    </w:p>
    <w:p w14:paraId="5A28687D">
      <w:pPr>
        <w:rPr>
          <w:sz w:val="20"/>
          <w:szCs w:val="20"/>
        </w:rPr>
      </w:pPr>
      <w:r>
        <w:rPr>
          <w:b/>
          <w:bCs/>
          <w:color w:val="4F6228" w:themeColor="accent3" w:themeShade="80"/>
          <w:szCs w:val="24"/>
        </w:rPr>
        <w:t>Other Requirements:</w:t>
      </w:r>
    </w:p>
    <w:p w14:paraId="5B3D6A10">
      <w:pPr>
        <w:rPr>
          <w:color w:val="000000"/>
        </w:rPr>
      </w:pPr>
      <w:r>
        <w:rPr>
          <w:b/>
          <w:bCs/>
          <w:color w:val="000000" w:themeColor="text1"/>
          <w14:textFill>
            <w14:solidFill>
              <w14:schemeClr w14:val="tx1"/>
            </w14:solidFill>
          </w14:textFill>
        </w:rPr>
        <w:t>Travel:</w:t>
      </w:r>
      <w:r>
        <w:rPr>
          <w:color w:val="000000" w:themeColor="text1"/>
          <w14:textFill>
            <w14:solidFill>
              <w14:schemeClr w14:val="tx1"/>
            </w14:solidFill>
          </w14:textFill>
        </w:rPr>
        <w:t xml:space="preserve"> The role may involve occasional travel to on-site locations in Tiree or for meetings either on-island, or elsewhere as required. Either a valid driving licence (and use of a vehicle) or the ability and willingness to make other suitable arrangements for travel on occasion may be required (allowing for any reasonable adjustments / support needs being met).</w:t>
      </w:r>
    </w:p>
    <w:p w14:paraId="5E1ABBCE">
      <w:pPr>
        <w:rPr>
          <w:color w:val="000000"/>
        </w:rPr>
      </w:pPr>
      <w:r>
        <w:rPr>
          <w:b/>
          <w:bCs/>
          <w:color w:val="000000"/>
        </w:rPr>
        <w:t>Non-Standard Hours</w:t>
      </w:r>
      <w:r>
        <w:rPr>
          <w:color w:val="000000"/>
        </w:rPr>
        <w:t>: The role will require occasional attendance at evening and (rarely) weekend meetings to accommodate volunteer board and working group members (time off in lieu (TOIL) will be given).</w:t>
      </w:r>
    </w:p>
    <w:p w14:paraId="42A3BF6D">
      <w:pPr>
        <w:rPr>
          <w:b/>
          <w:bCs/>
          <w:color w:val="4F6228" w:themeColor="accent3" w:themeShade="80"/>
          <w:szCs w:val="24"/>
        </w:rPr>
      </w:pPr>
      <w:r>
        <w:rPr>
          <w:b/>
          <w:bCs/>
          <w:color w:val="4F6228" w:themeColor="accent3" w:themeShade="80"/>
          <w:szCs w:val="24"/>
        </w:rPr>
        <w:t xml:space="preserve">Conditions of work, and in-work benefits </w:t>
      </w:r>
    </w:p>
    <w:p w14:paraId="1EF3A087">
      <w:pPr>
        <w:rPr>
          <w:color w:val="000000"/>
        </w:rPr>
      </w:pPr>
      <w:r>
        <w:rPr>
          <w:color w:val="000000"/>
        </w:rPr>
        <w:t>The post will be island based in the Trust Office in Tiree. Due to the community focussed nature of the role, we cannot consider a home/remote working arrangement where a candidate would not be based on-island in Tiree.</w:t>
      </w:r>
    </w:p>
    <w:p w14:paraId="03620C0D">
      <w:pPr>
        <w:rPr>
          <w:color w:val="000000"/>
        </w:rPr>
      </w:pPr>
      <w:r>
        <w:rPr>
          <w:color w:val="000000"/>
        </w:rPr>
        <w:t>Requests to consider flexibility of hours / job-shares will be considered on a case-by-case basis and will be dependent on the role and a viable arrangement being possible that meets organisational needs. If you have questions regarding this, please contact us as early as possible prior to the application deadline.</w:t>
      </w:r>
    </w:p>
    <w:p w14:paraId="6374FA41">
      <w:pPr>
        <w:rPr>
          <w:color w:val="000000"/>
        </w:rPr>
      </w:pPr>
      <w:r>
        <w:rPr>
          <w:color w:val="000000"/>
        </w:rPr>
        <w:t>As with all Trust roles, an initial probationary period applies, and confirmation in post is subject to satisfactory completion as per our Induction and Probation Policy.</w:t>
      </w:r>
    </w:p>
    <w:p w14:paraId="19B17DE9">
      <w:pPr>
        <w:rPr>
          <w:color w:val="000000"/>
        </w:rPr>
      </w:pPr>
      <w:r>
        <w:rPr>
          <w:color w:val="000000"/>
        </w:rPr>
        <w:t>The standard (full time) paid annual leave entitlement is 28 days (inclusive of public/bank holidays) per calendar year. After one full year of service, annual leave entitlement increases as follows: 1 day for every complete year of service up to a maximum of 5 extra days after 5 years’ service.</w:t>
      </w:r>
    </w:p>
    <w:p w14:paraId="49381582">
      <w:pPr>
        <w:rPr>
          <w:color w:val="000000"/>
        </w:rPr>
      </w:pPr>
      <w:r>
        <w:rPr>
          <w:color w:val="000000"/>
        </w:rPr>
        <w:t xml:space="preserve">Urras Thiriodh operates a workplace pension scheme, for which a 5% employer contribution is offered in addition to the post salary, with a 5% employee contribution required. Employees may choose to opt-out of this scheme. </w:t>
      </w:r>
    </w:p>
    <w:p w14:paraId="079DE91B">
      <w:pPr>
        <w:rPr>
          <w:color w:val="000000"/>
        </w:rPr>
      </w:pPr>
      <w:r>
        <w:rPr>
          <w:color w:val="000000" w:themeColor="text1"/>
          <w14:textFill>
            <w14:solidFill>
              <w14:schemeClr w14:val="tx1"/>
            </w14:solidFill>
          </w14:textFill>
        </w:rPr>
        <w:t xml:space="preserve">We offer a flexible approach to remote/home working on an ongoing basis where arrangements are agreed in writing in advance with the Line Manager. All staff must be “on-site” when required. </w:t>
      </w:r>
      <w:r>
        <w:t>As a general guideline, there is a base expectation that office-based staff are actually in the office for at least half of their working hours on average where possible and unless otherwise agreed. Staff are also required to engage with established internal communications and information sharing platforms, e.g. SharePoint, Outlook email and calendars, and Teams chat channels. Training can be provided as needed.</w:t>
      </w:r>
    </w:p>
    <w:p w14:paraId="50047238">
      <w:pPr>
        <w:rPr>
          <w:color w:val="000000"/>
        </w:rPr>
      </w:pPr>
      <w:r>
        <w:rPr>
          <w:color w:val="000000"/>
        </w:rPr>
        <w:t xml:space="preserve">As an employer we will be very glad to discuss any accessibility adjustment requirements and associated in-work support that may be needed to ensure a positive and inclusive workplace. </w:t>
      </w:r>
    </w:p>
    <w:p w14:paraId="559EBE23">
      <w:pPr>
        <w:rPr>
          <w:color w:val="000000"/>
        </w:rPr>
      </w:pPr>
      <w:r>
        <w:rPr>
          <w:color w:val="000000"/>
        </w:rPr>
        <w:t>We seek to operate to an excellent standard of Fair Working Practices, with a strong culture of internal staff consultation and feedback. A statement to this effect can be found on our website, and copies of our policies can be provided upon request.</w:t>
      </w:r>
    </w:p>
    <w:p w14:paraId="3E2B2DE3">
      <w:pPr>
        <w:spacing w:before="240"/>
        <w:rPr>
          <w:rFonts w:cs="Arial"/>
          <w:szCs w:val="24"/>
        </w:rPr>
      </w:pPr>
      <w:r>
        <w:rPr>
          <w:rFonts w:cs="Arial"/>
          <w:szCs w:val="24"/>
        </w:rPr>
        <w:br w:type="page"/>
      </w:r>
    </w:p>
    <w:p w14:paraId="3B8BB72B">
      <w:pPr>
        <w:spacing w:before="240"/>
        <w:jc w:val="center"/>
        <w:rPr>
          <w:rFonts w:cs="Arial"/>
          <w:b/>
          <w:bCs/>
          <w:color w:val="4F6228" w:themeColor="accent3" w:themeShade="80"/>
          <w:szCs w:val="24"/>
        </w:rPr>
      </w:pPr>
      <w:r>
        <w:rPr>
          <w:rFonts w:cs="Arial"/>
          <w:b/>
          <w:bCs/>
          <w:color w:val="4F6228" w:themeColor="accent3" w:themeShade="80"/>
          <w:szCs w:val="24"/>
        </w:rPr>
        <w:t>Person Specification: Job Title</w:t>
      </w:r>
    </w:p>
    <w:p w14:paraId="1579CF60">
      <w:pPr>
        <w:spacing w:before="240"/>
        <w:rPr>
          <w:rFonts w:cs="Arial"/>
          <w:color w:val="000000"/>
          <w:szCs w:val="24"/>
        </w:rPr>
      </w:pPr>
      <w:r>
        <w:rPr>
          <w:rFonts w:cs="Arial"/>
          <w:color w:val="000000"/>
          <w:szCs w:val="24"/>
        </w:rPr>
        <w:t xml:space="preserve">The following are the expected essential and desired elements for candidates for this role. While we would generally expect to see all essential elements in a suitable applicant, applicants are welcome to put forward a case for other cross-applicable experience and/or how they would address any small omissions swiftly, if recruited. </w:t>
      </w:r>
    </w:p>
    <w:p w14:paraId="7D154E25">
      <w:pPr>
        <w:spacing w:before="240"/>
        <w:rPr>
          <w:rFonts w:cs="Arial"/>
          <w:color w:val="000000"/>
          <w:szCs w:val="24"/>
        </w:rPr>
      </w:pPr>
      <w:r>
        <w:rPr>
          <w:rFonts w:cs="Arial"/>
          <w:color w:val="000000"/>
          <w:szCs w:val="24"/>
        </w:rPr>
        <w:t xml:space="preserve">Applicants are </w:t>
      </w:r>
      <w:r>
        <w:rPr>
          <w:rFonts w:cs="Arial"/>
          <w:b/>
          <w:color w:val="000000"/>
          <w:szCs w:val="24"/>
        </w:rPr>
        <w:t>not</w:t>
      </w:r>
      <w:r>
        <w:rPr>
          <w:rFonts w:cs="Arial"/>
          <w:color w:val="000000"/>
          <w:szCs w:val="24"/>
        </w:rPr>
        <w:t xml:space="preserve"> expected to be able to demonstrate all “desired” elements and should not be put off applying by these. In your application you should simply respond to them as best you can – these items would inform a development plan.</w:t>
      </w:r>
    </w:p>
    <w:p w14:paraId="3563CB17">
      <w:pPr>
        <w:spacing w:before="240"/>
        <w:rPr>
          <w:rFonts w:cs="Arial"/>
          <w:color w:val="000000"/>
          <w:szCs w:val="24"/>
        </w:rPr>
      </w:pPr>
      <w:r>
        <w:rPr>
          <w:rFonts w:cs="Arial"/>
          <w:color w:val="000000"/>
          <w:szCs w:val="24"/>
        </w:rPr>
        <w:t xml:space="preserve">In an application for the post and in the interview process we will be looking for you to provide examples that demonstrate how you meet these elements. This will inform scoring of applications. Please help us to best assess your application by responding directly to the points below, in the order in which they appear, with reference to any experience which </w:t>
      </w:r>
      <w:r>
        <w:rPr>
          <w:rFonts w:cs="Arial"/>
          <w:b/>
          <w:color w:val="000000"/>
          <w:szCs w:val="24"/>
        </w:rPr>
        <w:t>demonstrates</w:t>
      </w:r>
      <w:r>
        <w:rPr>
          <w:rFonts w:cs="Arial"/>
          <w:color w:val="000000"/>
          <w:szCs w:val="24"/>
        </w:rPr>
        <w:t xml:space="preserve"> the desired element. A useful technique to employ in your application is known as the “STAR” method.</w:t>
      </w:r>
    </w:p>
    <w:p w14:paraId="692DC713">
      <w:pPr>
        <w:spacing w:before="240"/>
        <w:rPr>
          <w:rFonts w:cs="Arial"/>
          <w:b/>
          <w:bCs/>
          <w:color w:val="4F6228" w:themeColor="accent3" w:themeShade="80"/>
          <w:szCs w:val="24"/>
        </w:rPr>
      </w:pPr>
      <w:r>
        <w:rPr>
          <w:rFonts w:cs="Arial"/>
          <w:b/>
          <w:bCs/>
          <w:color w:val="4F6228" w:themeColor="accent3" w:themeShade="80"/>
          <w:szCs w:val="24"/>
        </w:rPr>
        <w:t>Experience for the Role:</w:t>
      </w:r>
    </w:p>
    <w:p w14:paraId="1C3B1293">
      <w:pPr>
        <w:spacing w:before="240" w:after="0"/>
        <w:ind w:left="720"/>
        <w:rPr>
          <w:rFonts w:cs="Arial"/>
          <w:color w:val="4F6228" w:themeColor="accent3" w:themeShade="80"/>
          <w:szCs w:val="24"/>
        </w:rPr>
      </w:pPr>
      <w:r>
        <w:rPr>
          <w:rFonts w:cs="Arial"/>
          <w:color w:val="4F6228" w:themeColor="accent3" w:themeShade="80"/>
          <w:szCs w:val="24"/>
        </w:rPr>
        <w:t>Essential</w:t>
      </w:r>
    </w:p>
    <w:p w14:paraId="0A9CE2FF">
      <w:pPr>
        <w:pStyle w:val="14"/>
        <w:numPr>
          <w:ilvl w:val="0"/>
          <w:numId w:val="7"/>
        </w:numPr>
        <w:rPr>
          <w:rFonts w:cs="Arial"/>
          <w:szCs w:val="24"/>
        </w:rPr>
      </w:pPr>
      <w:r>
        <w:rPr>
          <w:rFonts w:cs="Arial"/>
          <w:szCs w:val="24"/>
        </w:rPr>
        <w:t>Coordinating project delivery in line with external (e.g. funder) requirements, including reporting and budget monitoring</w:t>
      </w:r>
    </w:p>
    <w:p w14:paraId="426D2CFA">
      <w:pPr>
        <w:pStyle w:val="14"/>
        <w:numPr>
          <w:ilvl w:val="0"/>
          <w:numId w:val="7"/>
        </w:numPr>
        <w:spacing w:before="240"/>
        <w:rPr>
          <w:rFonts w:cs="Arial"/>
          <w:szCs w:val="24"/>
        </w:rPr>
      </w:pPr>
      <w:r>
        <w:rPr>
          <w:rFonts w:cs="Arial"/>
          <w:szCs w:val="24"/>
        </w:rPr>
        <w:t>Designing and carrying out meaningful monitoring and evaluation, including feedback mechanisms</w:t>
      </w:r>
    </w:p>
    <w:p w14:paraId="01FEC966">
      <w:pPr>
        <w:pStyle w:val="14"/>
        <w:numPr>
          <w:ilvl w:val="0"/>
          <w:numId w:val="7"/>
        </w:numPr>
        <w:spacing w:before="240"/>
        <w:rPr>
          <w:rFonts w:cs="Arial"/>
          <w:szCs w:val="24"/>
        </w:rPr>
      </w:pPr>
      <w:r>
        <w:rPr>
          <w:rFonts w:cs="Arial"/>
          <w:szCs w:val="24"/>
        </w:rPr>
        <w:t>Experience of working independently and taking ownership of project areas within a wider team</w:t>
      </w:r>
    </w:p>
    <w:p w14:paraId="2FF1DAE3">
      <w:pPr>
        <w:pStyle w:val="14"/>
        <w:spacing w:before="240"/>
        <w:rPr>
          <w:rFonts w:cs="Arial"/>
          <w:szCs w:val="24"/>
        </w:rPr>
      </w:pPr>
    </w:p>
    <w:p w14:paraId="26810DE5">
      <w:pPr>
        <w:pStyle w:val="14"/>
        <w:spacing w:before="240"/>
        <w:rPr>
          <w:rFonts w:cs="Arial"/>
          <w:color w:val="4F6228" w:themeColor="accent3" w:themeShade="80"/>
          <w:szCs w:val="24"/>
        </w:rPr>
      </w:pPr>
      <w:r>
        <w:rPr>
          <w:rFonts w:cs="Arial"/>
          <w:color w:val="4F6228" w:themeColor="accent3" w:themeShade="80"/>
          <w:szCs w:val="24"/>
        </w:rPr>
        <w:t>Desirable</w:t>
      </w:r>
    </w:p>
    <w:p w14:paraId="765365C1">
      <w:pPr>
        <w:pStyle w:val="14"/>
        <w:numPr>
          <w:ilvl w:val="0"/>
          <w:numId w:val="7"/>
        </w:numPr>
        <w:spacing w:before="240"/>
        <w:rPr>
          <w:rFonts w:cs="Arial"/>
          <w:color w:val="4F6228" w:themeColor="accent3" w:themeShade="80"/>
          <w:szCs w:val="24"/>
        </w:rPr>
      </w:pPr>
      <w:r>
        <w:rPr>
          <w:rFonts w:cs="Arial"/>
          <w:szCs w:val="24"/>
        </w:rPr>
        <w:t>Working within the public and/or third sector where outcomes are tied to grant funding or restricted income</w:t>
      </w:r>
    </w:p>
    <w:p w14:paraId="016C75BD">
      <w:pPr>
        <w:pStyle w:val="14"/>
        <w:numPr>
          <w:ilvl w:val="0"/>
          <w:numId w:val="7"/>
        </w:numPr>
        <w:spacing w:before="240"/>
        <w:rPr>
          <w:rFonts w:cs="Arial"/>
          <w:szCs w:val="24"/>
        </w:rPr>
      </w:pPr>
      <w:r>
        <w:rPr>
          <w:rFonts w:cs="Arial"/>
          <w:szCs w:val="24"/>
        </w:rPr>
        <w:t>Planning and delivering community events, workshops, or consultation sessions</w:t>
      </w:r>
    </w:p>
    <w:p w14:paraId="3D0916ED">
      <w:pPr>
        <w:pStyle w:val="14"/>
        <w:numPr>
          <w:ilvl w:val="0"/>
          <w:numId w:val="7"/>
        </w:numPr>
        <w:spacing w:before="240"/>
        <w:rPr>
          <w:rFonts w:cs="Arial"/>
          <w:szCs w:val="24"/>
        </w:rPr>
      </w:pPr>
      <w:r>
        <w:rPr>
          <w:rFonts w:cs="Arial"/>
          <w:szCs w:val="24"/>
        </w:rPr>
        <w:t>Experience working with Boards or governance structures, including preparing papers and responding to strategic guidance</w:t>
      </w:r>
    </w:p>
    <w:p w14:paraId="3294CE4C">
      <w:pPr>
        <w:spacing w:before="240"/>
        <w:rPr>
          <w:rFonts w:cs="Arial"/>
          <w:b/>
          <w:bCs/>
          <w:color w:val="4F6228" w:themeColor="accent3" w:themeShade="80"/>
          <w:szCs w:val="24"/>
        </w:rPr>
      </w:pPr>
      <w:r>
        <w:rPr>
          <w:rFonts w:cs="Arial"/>
          <w:b/>
          <w:bCs/>
          <w:color w:val="4F6228" w:themeColor="accent3" w:themeShade="80"/>
          <w:szCs w:val="24"/>
        </w:rPr>
        <w:t>Skills and Abilities:</w:t>
      </w:r>
    </w:p>
    <w:p w14:paraId="11BAF63B">
      <w:pPr>
        <w:pStyle w:val="14"/>
        <w:spacing w:before="240" w:after="0"/>
        <w:rPr>
          <w:rFonts w:cs="Arial"/>
          <w:color w:val="4F6228" w:themeColor="accent3" w:themeShade="80"/>
          <w:szCs w:val="24"/>
        </w:rPr>
      </w:pPr>
      <w:r>
        <w:rPr>
          <w:rFonts w:cs="Arial"/>
          <w:color w:val="4F6228" w:themeColor="accent3" w:themeShade="80"/>
          <w:szCs w:val="24"/>
        </w:rPr>
        <w:t>Essential</w:t>
      </w:r>
    </w:p>
    <w:p w14:paraId="684568A6">
      <w:pPr>
        <w:pStyle w:val="14"/>
        <w:numPr>
          <w:ilvl w:val="0"/>
          <w:numId w:val="7"/>
        </w:numPr>
        <w:rPr>
          <w:rFonts w:cs="Arial"/>
          <w:color w:val="000000"/>
          <w:szCs w:val="24"/>
        </w:rPr>
      </w:pPr>
      <w:r>
        <w:rPr>
          <w:rFonts w:cs="Arial"/>
          <w:color w:val="000000"/>
          <w:szCs w:val="24"/>
        </w:rPr>
        <w:t>Strong team-working skills and the ability to collaborate both in person and remotely as part of a small team, as well as with larger organisations/contractors</w:t>
      </w:r>
    </w:p>
    <w:p w14:paraId="5E3F63F5">
      <w:pPr>
        <w:pStyle w:val="14"/>
        <w:numPr>
          <w:ilvl w:val="0"/>
          <w:numId w:val="7"/>
        </w:numPr>
        <w:spacing w:before="240"/>
        <w:rPr>
          <w:rFonts w:cs="Arial"/>
          <w:color w:val="000000"/>
          <w:szCs w:val="24"/>
        </w:rPr>
      </w:pPr>
      <w:r>
        <w:rPr>
          <w:rFonts w:cs="Arial"/>
          <w:color w:val="000000"/>
          <w:szCs w:val="24"/>
        </w:rPr>
        <w:t>Excellent organisational skills, with the ability to prioritise and respond to emerging needs while meeting deadlines</w:t>
      </w:r>
    </w:p>
    <w:p w14:paraId="03745571">
      <w:pPr>
        <w:pStyle w:val="14"/>
        <w:numPr>
          <w:ilvl w:val="0"/>
          <w:numId w:val="7"/>
        </w:numPr>
        <w:spacing w:before="240"/>
        <w:rPr>
          <w:rFonts w:cs="Arial"/>
          <w:color w:val="000000"/>
          <w:szCs w:val="24"/>
        </w:rPr>
      </w:pPr>
      <w:r>
        <w:rPr>
          <w:rFonts w:cs="Arial"/>
          <w:color w:val="000000"/>
          <w:szCs w:val="24"/>
        </w:rPr>
        <w:t>Effective communication skills with a range of audiences - including funders, governance groups, partners, and the public</w:t>
      </w:r>
    </w:p>
    <w:p w14:paraId="2E2176C1">
      <w:pPr>
        <w:pStyle w:val="14"/>
        <w:numPr>
          <w:ilvl w:val="0"/>
          <w:numId w:val="7"/>
        </w:numPr>
        <w:spacing w:before="240"/>
        <w:rPr>
          <w:rFonts w:cs="Arial"/>
          <w:color w:val="000000"/>
          <w:szCs w:val="24"/>
        </w:rPr>
      </w:pPr>
      <w:r>
        <w:rPr>
          <w:rFonts w:cs="Arial"/>
          <w:color w:val="000000"/>
          <w:szCs w:val="24"/>
        </w:rPr>
        <w:t>A creative and enthusiastic approach to problem-solving, with a solutions focus and constructive response to changing circumstances</w:t>
      </w:r>
    </w:p>
    <w:p w14:paraId="0E9DB27E">
      <w:pPr>
        <w:pStyle w:val="14"/>
        <w:numPr>
          <w:ilvl w:val="0"/>
          <w:numId w:val="7"/>
        </w:numPr>
        <w:spacing w:before="240"/>
        <w:rPr>
          <w:rFonts w:cs="Arial"/>
          <w:color w:val="000000"/>
          <w:szCs w:val="24"/>
        </w:rPr>
      </w:pPr>
      <w:r>
        <w:rPr>
          <w:rFonts w:cs="Arial"/>
          <w:color w:val="000000"/>
          <w:szCs w:val="24"/>
        </w:rPr>
        <w:t>Intermediate IT skills including MS Office 365 and confidence using digital tools for communication and reporting (e.g. Wordpress, Facebook, other social media) or the ability to pick up basic use of those tools</w:t>
      </w:r>
    </w:p>
    <w:p w14:paraId="27BCBC19">
      <w:pPr>
        <w:pStyle w:val="14"/>
        <w:spacing w:before="240"/>
        <w:rPr>
          <w:rFonts w:cs="Arial"/>
          <w:color w:val="000000"/>
          <w:szCs w:val="24"/>
        </w:rPr>
      </w:pPr>
    </w:p>
    <w:p w14:paraId="505A9A6B">
      <w:pPr>
        <w:pStyle w:val="14"/>
        <w:spacing w:before="240"/>
        <w:rPr>
          <w:rFonts w:cs="Arial"/>
          <w:color w:val="4F6228" w:themeColor="accent3" w:themeShade="80"/>
          <w:szCs w:val="24"/>
        </w:rPr>
      </w:pPr>
      <w:r>
        <w:rPr>
          <w:rFonts w:cs="Arial"/>
          <w:color w:val="4F6228" w:themeColor="accent3" w:themeShade="80"/>
          <w:szCs w:val="24"/>
        </w:rPr>
        <w:t>Desirable</w:t>
      </w:r>
    </w:p>
    <w:p w14:paraId="6752B63F">
      <w:pPr>
        <w:pStyle w:val="14"/>
        <w:numPr>
          <w:ilvl w:val="0"/>
          <w:numId w:val="7"/>
        </w:numPr>
        <w:spacing w:before="240"/>
        <w:rPr>
          <w:rFonts w:cs="Arial"/>
          <w:szCs w:val="24"/>
        </w:rPr>
      </w:pPr>
      <w:r>
        <w:rPr>
          <w:rFonts w:cs="Arial"/>
          <w:color w:val="000000"/>
          <w:szCs w:val="24"/>
        </w:rPr>
        <w:t xml:space="preserve">Experience of partnership development, stakeholder relationship building, </w:t>
      </w:r>
      <w:r>
        <w:rPr>
          <w:rFonts w:cs="Arial"/>
          <w:szCs w:val="24"/>
        </w:rPr>
        <w:t>and/or advocacy or lobbying</w:t>
      </w:r>
    </w:p>
    <w:p w14:paraId="3A3BC982">
      <w:pPr>
        <w:pStyle w:val="14"/>
        <w:numPr>
          <w:ilvl w:val="0"/>
          <w:numId w:val="7"/>
        </w:numPr>
        <w:spacing w:before="240"/>
        <w:rPr>
          <w:rFonts w:cs="Arial"/>
          <w:szCs w:val="24"/>
        </w:rPr>
      </w:pPr>
      <w:r>
        <w:rPr>
          <w:rFonts w:cs="Arial"/>
          <w:szCs w:val="24"/>
        </w:rPr>
        <w:t>Facilitation skills for group discussions, consultations or working groups</w:t>
      </w:r>
    </w:p>
    <w:p w14:paraId="3EE2D59C">
      <w:pPr>
        <w:pStyle w:val="14"/>
        <w:numPr>
          <w:ilvl w:val="0"/>
          <w:numId w:val="7"/>
        </w:numPr>
        <w:spacing w:before="240"/>
        <w:rPr>
          <w:rFonts w:cs="Arial"/>
          <w:szCs w:val="24"/>
        </w:rPr>
      </w:pPr>
      <w:r>
        <w:rPr>
          <w:rFonts w:cs="Arial"/>
          <w:szCs w:val="24"/>
        </w:rPr>
        <w:t>Gaelic language skills or a willingness to learn basic Gaelic for use in community-facing work would be a valued advantage</w:t>
      </w:r>
    </w:p>
    <w:p w14:paraId="1F299A3D">
      <w:pPr>
        <w:spacing w:before="240"/>
        <w:rPr>
          <w:rFonts w:cs="Arial"/>
          <w:b/>
          <w:bCs/>
          <w:color w:val="4F6228" w:themeColor="accent3" w:themeShade="80"/>
          <w:szCs w:val="24"/>
        </w:rPr>
      </w:pPr>
      <w:r>
        <w:rPr>
          <w:rFonts w:cs="Arial"/>
          <w:b/>
          <w:bCs/>
          <w:color w:val="4F6228" w:themeColor="accent3" w:themeShade="80"/>
          <w:szCs w:val="24"/>
        </w:rPr>
        <w:t>Knowledge and understanding:</w:t>
      </w:r>
    </w:p>
    <w:p w14:paraId="1A0EE476">
      <w:pPr>
        <w:pStyle w:val="14"/>
        <w:spacing w:before="240"/>
        <w:rPr>
          <w:rFonts w:cs="Arial"/>
          <w:color w:val="4F6228" w:themeColor="accent3" w:themeShade="80"/>
          <w:szCs w:val="24"/>
        </w:rPr>
      </w:pPr>
      <w:r>
        <w:rPr>
          <w:rFonts w:cs="Arial"/>
          <w:color w:val="4F6228" w:themeColor="accent3" w:themeShade="80"/>
          <w:szCs w:val="24"/>
        </w:rPr>
        <w:t>Essential</w:t>
      </w:r>
    </w:p>
    <w:p w14:paraId="238A98AF">
      <w:pPr>
        <w:pStyle w:val="14"/>
        <w:numPr>
          <w:ilvl w:val="0"/>
          <w:numId w:val="7"/>
        </w:numPr>
        <w:spacing w:before="240"/>
        <w:rPr>
          <w:rFonts w:cs="Arial"/>
          <w:szCs w:val="24"/>
        </w:rPr>
      </w:pPr>
      <w:r>
        <w:rPr>
          <w:rFonts w:cs="Arial"/>
          <w:szCs w:val="24"/>
        </w:rPr>
        <w:t>Understanding of budgeting and financial responsibility in the context of project management</w:t>
      </w:r>
    </w:p>
    <w:p w14:paraId="74FF4846">
      <w:pPr>
        <w:pStyle w:val="14"/>
        <w:numPr>
          <w:ilvl w:val="0"/>
          <w:numId w:val="7"/>
        </w:numPr>
        <w:spacing w:before="240"/>
        <w:rPr>
          <w:rFonts w:cs="Arial"/>
          <w:szCs w:val="24"/>
        </w:rPr>
      </w:pPr>
      <w:r>
        <w:rPr>
          <w:rFonts w:cs="Arial"/>
          <w:szCs w:val="24"/>
        </w:rPr>
        <w:t>Awareness of the unique opportunities and challenges of working in a small island community, including seasonal variation and access to services</w:t>
      </w:r>
    </w:p>
    <w:p w14:paraId="69F6E0B9">
      <w:pPr>
        <w:pStyle w:val="14"/>
        <w:numPr>
          <w:ilvl w:val="0"/>
          <w:numId w:val="7"/>
        </w:numPr>
        <w:spacing w:before="240"/>
        <w:rPr>
          <w:rFonts w:cs="Arial"/>
          <w:szCs w:val="24"/>
        </w:rPr>
      </w:pPr>
      <w:r>
        <w:rPr>
          <w:rFonts w:cs="Arial"/>
          <w:szCs w:val="24"/>
        </w:rPr>
        <w:t>Understanding of the principles of equality, human rights, and inclusion in community work</w:t>
      </w:r>
    </w:p>
    <w:p w14:paraId="580FAC5F">
      <w:pPr>
        <w:pStyle w:val="14"/>
        <w:spacing w:before="240"/>
        <w:rPr>
          <w:rFonts w:cs="Arial"/>
          <w:color w:val="000000"/>
          <w:szCs w:val="24"/>
        </w:rPr>
      </w:pPr>
    </w:p>
    <w:p w14:paraId="53C274FB">
      <w:pPr>
        <w:pStyle w:val="14"/>
        <w:spacing w:before="240"/>
        <w:rPr>
          <w:rFonts w:cs="Arial"/>
          <w:color w:val="4F6228" w:themeColor="accent3" w:themeShade="80"/>
          <w:szCs w:val="24"/>
        </w:rPr>
      </w:pPr>
      <w:r>
        <w:rPr>
          <w:rFonts w:cs="Arial"/>
          <w:color w:val="4F6228" w:themeColor="accent3" w:themeShade="80"/>
          <w:szCs w:val="24"/>
        </w:rPr>
        <w:t>Desirable</w:t>
      </w:r>
    </w:p>
    <w:p w14:paraId="0728483D">
      <w:pPr>
        <w:pStyle w:val="14"/>
        <w:numPr>
          <w:ilvl w:val="0"/>
          <w:numId w:val="7"/>
        </w:numPr>
        <w:spacing w:before="240"/>
        <w:rPr>
          <w:rFonts w:cs="Arial"/>
          <w:szCs w:val="24"/>
        </w:rPr>
      </w:pPr>
      <w:r>
        <w:rPr>
          <w:rFonts w:cs="Arial"/>
          <w:szCs w:val="24"/>
        </w:rPr>
        <w:t>Existing knowledge directly relevant to project delivery areas in our Community Development Plan</w:t>
      </w:r>
    </w:p>
    <w:p w14:paraId="07EBE56B">
      <w:pPr>
        <w:spacing w:before="240"/>
        <w:rPr>
          <w:rFonts w:cs="Arial"/>
          <w:b/>
          <w:bCs/>
          <w:color w:val="4F6228" w:themeColor="accent3" w:themeShade="80"/>
          <w:szCs w:val="24"/>
        </w:rPr>
      </w:pPr>
      <w:r>
        <w:rPr>
          <w:rFonts w:cs="Arial"/>
          <w:b/>
          <w:bCs/>
          <w:color w:val="4F6228" w:themeColor="accent3" w:themeShade="80"/>
          <w:szCs w:val="24"/>
        </w:rPr>
        <w:t>Other Requirements:</w:t>
      </w:r>
    </w:p>
    <w:p w14:paraId="7FCCE075">
      <w:pPr>
        <w:spacing w:before="240"/>
        <w:rPr>
          <w:rFonts w:cs="Arial"/>
          <w:color w:val="000000"/>
          <w:szCs w:val="24"/>
        </w:rPr>
      </w:pPr>
      <w:r>
        <w:rPr>
          <w:rFonts w:cs="Arial"/>
          <w:b/>
          <w:bCs/>
          <w:color w:val="000000" w:themeColor="text1"/>
          <w:szCs w:val="24"/>
          <w14:textFill>
            <w14:solidFill>
              <w14:schemeClr w14:val="tx1"/>
            </w14:solidFill>
          </w14:textFill>
        </w:rPr>
        <w:t>Travel:</w:t>
      </w:r>
      <w:r>
        <w:rPr>
          <w:rFonts w:cs="Arial"/>
          <w:color w:val="000000" w:themeColor="text1"/>
          <w:szCs w:val="24"/>
          <w14:textFill>
            <w14:solidFill>
              <w14:schemeClr w14:val="tx1"/>
            </w14:solidFill>
          </w14:textFill>
        </w:rPr>
        <w:t xml:space="preserve"> The role may involve occasional travel to on-site locations in Tiree or for meetings either on-island, or elsewhere as required. Either a valid driving licence (and use of a vehicle) or the ability and willingness to make other suitable arrangements for travel on occasion may be required (allowing for any reasonable adjustments / support needs being met).</w:t>
      </w:r>
    </w:p>
    <w:p w14:paraId="71CBD73F">
      <w:pPr>
        <w:spacing w:before="240"/>
        <w:rPr>
          <w:rFonts w:cs="Arial"/>
          <w:color w:val="000000"/>
          <w:szCs w:val="24"/>
        </w:rPr>
      </w:pPr>
      <w:r>
        <w:rPr>
          <w:rFonts w:cs="Arial"/>
          <w:b/>
          <w:bCs/>
          <w:color w:val="000000"/>
          <w:szCs w:val="24"/>
        </w:rPr>
        <w:t>Non-Standard Hours</w:t>
      </w:r>
      <w:r>
        <w:rPr>
          <w:rFonts w:cs="Arial"/>
          <w:color w:val="000000"/>
          <w:szCs w:val="24"/>
        </w:rPr>
        <w:t>: The role will require occasional attendance at evening and (rarely) weekend meetings to accommodate volunteer board and working group members (time off in lieu (TOIL) will be given).</w:t>
      </w:r>
    </w:p>
    <w:p w14:paraId="340D77B6">
      <w:pPr>
        <w:spacing w:before="240"/>
        <w:rPr>
          <w:rFonts w:cs="Arial"/>
          <w:color w:val="000000"/>
          <w:szCs w:val="24"/>
        </w:rPr>
      </w:pPr>
    </w:p>
    <w:p w14:paraId="03B64348">
      <w:pPr>
        <w:spacing w:before="240"/>
        <w:rPr>
          <w:rFonts w:cs="Arial"/>
          <w:b/>
          <w:bCs/>
          <w:color w:val="4F6228" w:themeColor="accent3" w:themeShade="80"/>
          <w:szCs w:val="24"/>
        </w:rPr>
      </w:pPr>
      <w:r>
        <w:rPr>
          <w:rFonts w:cs="Arial"/>
          <w:b/>
          <w:bCs/>
          <w:color w:val="4F6228" w:themeColor="accent3" w:themeShade="80"/>
          <w:szCs w:val="24"/>
        </w:rPr>
        <w:t xml:space="preserve">Conditions of work, and in-work benefits </w:t>
      </w:r>
    </w:p>
    <w:p w14:paraId="023FE38C">
      <w:pPr>
        <w:spacing w:before="240"/>
        <w:rPr>
          <w:rFonts w:cs="Arial"/>
          <w:color w:val="000000"/>
          <w:szCs w:val="24"/>
        </w:rPr>
      </w:pPr>
      <w:r>
        <w:rPr>
          <w:rFonts w:cs="Arial"/>
          <w:color w:val="000000"/>
          <w:szCs w:val="24"/>
        </w:rPr>
        <w:t>The post will be island based in the Trust Office in Tiree.</w:t>
      </w:r>
    </w:p>
    <w:p w14:paraId="680922C9">
      <w:pPr>
        <w:spacing w:before="240"/>
        <w:rPr>
          <w:rFonts w:cs="Arial"/>
          <w:color w:val="000000"/>
          <w:szCs w:val="24"/>
        </w:rPr>
      </w:pPr>
      <w:r>
        <w:rPr>
          <w:rFonts w:cs="Arial"/>
          <w:color w:val="000000"/>
          <w:szCs w:val="24"/>
        </w:rPr>
        <w:t>Requests to consider flexibility of hours / job-shares will be considered on a case-by-case basis and will be dependent on the role and a viable arrangement being possible that meets organisational needs. If you have questions regarding this please contact us as early as possible prior to the application deadline.</w:t>
      </w:r>
    </w:p>
    <w:p w14:paraId="41886A50">
      <w:pPr>
        <w:spacing w:before="240"/>
        <w:rPr>
          <w:rFonts w:cs="Arial"/>
          <w:color w:val="000000"/>
          <w:szCs w:val="24"/>
        </w:rPr>
      </w:pPr>
      <w:r>
        <w:rPr>
          <w:rFonts w:cs="Arial"/>
          <w:color w:val="000000"/>
          <w:szCs w:val="24"/>
        </w:rPr>
        <w:t>As with all Trust roles, an initial probationary period applies, and confirmation in post is subject to satisfactory completion as per our Induction and Probation Policy.</w:t>
      </w:r>
    </w:p>
    <w:p w14:paraId="2963621F">
      <w:pPr>
        <w:spacing w:before="240"/>
        <w:rPr>
          <w:rFonts w:cs="Arial"/>
          <w:color w:val="000000"/>
          <w:szCs w:val="24"/>
        </w:rPr>
      </w:pPr>
      <w:r>
        <w:rPr>
          <w:rFonts w:cs="Arial"/>
          <w:color w:val="000000"/>
          <w:szCs w:val="24"/>
        </w:rPr>
        <w:t>The standard (full time) paid annual leave entitlement is 28 days (inclusive of public/bank holidays) per calendar year. After one full year of service, annual leave entitlement increases as follows: 1 day for every complete year of service up to a maximum of 5 extra days after 5 years’ service.</w:t>
      </w:r>
    </w:p>
    <w:p w14:paraId="64B7F7AE">
      <w:pPr>
        <w:spacing w:before="240"/>
        <w:rPr>
          <w:rFonts w:cs="Arial"/>
          <w:color w:val="000000"/>
          <w:szCs w:val="24"/>
        </w:rPr>
      </w:pPr>
      <w:r>
        <w:rPr>
          <w:rFonts w:cs="Arial"/>
          <w:color w:val="000000"/>
          <w:szCs w:val="24"/>
        </w:rPr>
        <w:t xml:space="preserve">Urras Thiriodh operates a workplace pension scheme, for which a 5% employer contribution is offered in addition to the post salary, with a 5% employee contribution required. Employees may choose to opt-out of this scheme. </w:t>
      </w:r>
    </w:p>
    <w:p w14:paraId="00A5C5CD">
      <w:pPr>
        <w:spacing w:before="240"/>
        <w:rPr>
          <w:rFonts w:cs="Arial"/>
          <w:color w:val="000000"/>
          <w:szCs w:val="24"/>
        </w:rPr>
      </w:pPr>
      <w:r>
        <w:rPr>
          <w:rFonts w:cs="Arial"/>
          <w:color w:val="000000" w:themeColor="text1"/>
          <w:szCs w:val="24"/>
          <w14:textFill>
            <w14:solidFill>
              <w14:schemeClr w14:val="tx1"/>
            </w14:solidFill>
          </w14:textFill>
        </w:rPr>
        <w:t xml:space="preserve">We offer a flexible approach to remote/home working on an ongoing basis where arrangements are agreed in writing in advance with the Line Manager. All staff must be “on-site” when required. </w:t>
      </w:r>
      <w:r>
        <w:rPr>
          <w:rFonts w:cs="Arial"/>
          <w:szCs w:val="24"/>
        </w:rPr>
        <w:t>As a general guideline, there is a base expectation that office-based staff are actually in the office for at least half of their working hours on average where possible and unless otherwise agreed. Staff are also required to engage with established internal communications and information sharing platforms, e.g. SharePoint, Outlook email and calendars, and Teams chat channels. Training can be provided as needed.</w:t>
      </w:r>
    </w:p>
    <w:p w14:paraId="72A1F90D">
      <w:pPr>
        <w:spacing w:before="240"/>
        <w:rPr>
          <w:rFonts w:cs="Arial"/>
          <w:color w:val="000000"/>
          <w:szCs w:val="24"/>
        </w:rPr>
      </w:pPr>
      <w:r>
        <w:rPr>
          <w:rFonts w:cs="Arial"/>
          <w:color w:val="000000"/>
          <w:szCs w:val="24"/>
        </w:rPr>
        <w:t xml:space="preserve">As an employer we will be very glad to discuss any accessibility adjustment requirements and associated in-work support that may be needed to ensure a positive and inclusive workplace. </w:t>
      </w:r>
    </w:p>
    <w:p w14:paraId="32DD2FE5">
      <w:pPr>
        <w:spacing w:before="240"/>
        <w:rPr>
          <w:rFonts w:cs="Arial"/>
          <w:color w:val="000000"/>
          <w:szCs w:val="24"/>
        </w:rPr>
      </w:pPr>
      <w:r>
        <w:rPr>
          <w:rFonts w:cs="Arial"/>
          <w:color w:val="000000"/>
          <w:szCs w:val="24"/>
        </w:rPr>
        <w:t>We seek to operate to an excellent standard of Fair Working Practices, with a strong culture of internal staff consultation and feedback. A statement to this effect can be found on our website, and copies of our policies can be provided upon request.</w:t>
      </w:r>
    </w:p>
    <w:sectPr>
      <w:headerReference r:id="rId5" w:type="default"/>
      <w:footerReference r:id="rId6" w:type="default"/>
      <w:pgSz w:w="11906" w:h="16838"/>
      <w:pgMar w:top="2410" w:right="1440" w:bottom="1440"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5565">
    <w:pPr>
      <w:pStyle w:val="10"/>
      <w:jc w:val="right"/>
    </w:pPr>
    <w:r>
      <w:t>Job Desc + Person Spec June 2026</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179B">
    <w:pPr>
      <w:pStyle w:val="11"/>
      <w:rPr>
        <w:rFonts w:cs="Arial"/>
        <w:b/>
        <w:bCs/>
        <w:sz w:val="28"/>
        <w:szCs w:val="28"/>
      </w:rPr>
    </w:pPr>
    <w:r>
      <w:drawing>
        <wp:anchor distT="0" distB="0" distL="114300" distR="114300" simplePos="0" relativeHeight="251659264" behindDoc="1" locked="0" layoutInCell="1" allowOverlap="1">
          <wp:simplePos x="0" y="0"/>
          <wp:positionH relativeFrom="page">
            <wp:posOffset>5238750</wp:posOffset>
          </wp:positionH>
          <wp:positionV relativeFrom="paragraph">
            <wp:posOffset>-263525</wp:posOffset>
          </wp:positionV>
          <wp:extent cx="1887855" cy="1200150"/>
          <wp:effectExtent l="0" t="0" r="0" b="0"/>
          <wp:wrapTight wrapText="bothSides">
            <wp:wrapPolygon>
              <wp:start x="0" y="0"/>
              <wp:lineTo x="0" y="21257"/>
              <wp:lineTo x="21360" y="21257"/>
              <wp:lineTo x="21360" y="0"/>
              <wp:lineTo x="0" y="0"/>
            </wp:wrapPolygon>
          </wp:wrapTight>
          <wp:docPr id="68556257" name="Picture 2" descr="A green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6257" name="Picture 2" descr="A green and white map&#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7855" cy="1200150"/>
                  </a:xfrm>
                  <a:prstGeom prst="rect">
                    <a:avLst/>
                  </a:prstGeom>
                </pic:spPr>
              </pic:pic>
            </a:graphicData>
          </a:graphic>
        </wp:anchor>
      </w:drawing>
    </w:r>
    <w:r>
      <w:rPr>
        <w:rFonts w:cs="Arial"/>
        <w:b/>
        <w:bCs/>
        <w:sz w:val="28"/>
        <w:szCs w:val="28"/>
      </w:rPr>
      <w:t>Urras Thiriodh</w:t>
    </w:r>
  </w:p>
  <w:p w14:paraId="05DE2520">
    <w:pPr>
      <w:pStyle w:val="11"/>
      <w:rPr>
        <w:rFonts w:cs="Arial"/>
        <w:sz w:val="28"/>
        <w:szCs w:val="28"/>
      </w:rPr>
    </w:pPr>
    <w:r>
      <w:rPr>
        <w:rFonts w:cs="Arial"/>
        <w:b/>
        <w:bCs/>
        <w:sz w:val="28"/>
        <w:szCs w:val="28"/>
      </w:rPr>
      <w:t>Tiree Community Development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abstractNum w:abstractNumId="1">
    <w:nsid w:val="35F655F0"/>
    <w:multiLevelType w:val="multilevel"/>
    <w:tmpl w:val="35F655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3B20AA"/>
    <w:multiLevelType w:val="multilevel"/>
    <w:tmpl w:val="453B20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5EC1EF2"/>
    <w:multiLevelType w:val="multilevel"/>
    <w:tmpl w:val="45EC1EF2"/>
    <w:lvl w:ilvl="0" w:tentative="0">
      <w:start w:val="0"/>
      <w:numFmt w:val="bullet"/>
      <w:lvlText w:val="-"/>
      <w:lvlJc w:val="left"/>
      <w:pPr>
        <w:ind w:left="1080" w:hanging="360"/>
      </w:pPr>
      <w:rPr>
        <w:rFonts w:hint="default" w:ascii="Arial" w:hAnsi="Arial" w:cs="Arial"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5CDE7C4B"/>
    <w:multiLevelType w:val="multilevel"/>
    <w:tmpl w:val="5CDE7C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13B6D13"/>
    <w:multiLevelType w:val="multilevel"/>
    <w:tmpl w:val="613B6D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B3C7565"/>
    <w:multiLevelType w:val="multilevel"/>
    <w:tmpl w:val="7B3C75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74"/>
    <w:rsid w:val="000045C7"/>
    <w:rsid w:val="000064AF"/>
    <w:rsid w:val="0000757D"/>
    <w:rsid w:val="00010133"/>
    <w:rsid w:val="000107DD"/>
    <w:rsid w:val="00014D04"/>
    <w:rsid w:val="000162F8"/>
    <w:rsid w:val="00020AA5"/>
    <w:rsid w:val="00027299"/>
    <w:rsid w:val="000354A2"/>
    <w:rsid w:val="000523DD"/>
    <w:rsid w:val="0005255F"/>
    <w:rsid w:val="00055D91"/>
    <w:rsid w:val="00061022"/>
    <w:rsid w:val="00061861"/>
    <w:rsid w:val="00061EBA"/>
    <w:rsid w:val="000626D2"/>
    <w:rsid w:val="000665C9"/>
    <w:rsid w:val="00066841"/>
    <w:rsid w:val="00071626"/>
    <w:rsid w:val="00074889"/>
    <w:rsid w:val="00077304"/>
    <w:rsid w:val="0008134C"/>
    <w:rsid w:val="00081BD2"/>
    <w:rsid w:val="00084F83"/>
    <w:rsid w:val="000855CB"/>
    <w:rsid w:val="0008699B"/>
    <w:rsid w:val="00096B7B"/>
    <w:rsid w:val="000970F3"/>
    <w:rsid w:val="000A20C7"/>
    <w:rsid w:val="000A2826"/>
    <w:rsid w:val="000A7CBD"/>
    <w:rsid w:val="000B39ED"/>
    <w:rsid w:val="000B78FA"/>
    <w:rsid w:val="000C3A8C"/>
    <w:rsid w:val="000C4E65"/>
    <w:rsid w:val="000D43CD"/>
    <w:rsid w:val="000E5E7F"/>
    <w:rsid w:val="000E659A"/>
    <w:rsid w:val="000E6EF2"/>
    <w:rsid w:val="000F43D7"/>
    <w:rsid w:val="0010550B"/>
    <w:rsid w:val="00107264"/>
    <w:rsid w:val="0011135B"/>
    <w:rsid w:val="00112D4F"/>
    <w:rsid w:val="001144D7"/>
    <w:rsid w:val="00116023"/>
    <w:rsid w:val="00116420"/>
    <w:rsid w:val="00116828"/>
    <w:rsid w:val="001304A7"/>
    <w:rsid w:val="00130C27"/>
    <w:rsid w:val="00131DD2"/>
    <w:rsid w:val="001322E3"/>
    <w:rsid w:val="001332FE"/>
    <w:rsid w:val="0013613F"/>
    <w:rsid w:val="0013674B"/>
    <w:rsid w:val="00142A11"/>
    <w:rsid w:val="00146187"/>
    <w:rsid w:val="0014708D"/>
    <w:rsid w:val="001518AE"/>
    <w:rsid w:val="001534F5"/>
    <w:rsid w:val="00156F6E"/>
    <w:rsid w:val="00163A5A"/>
    <w:rsid w:val="001673AF"/>
    <w:rsid w:val="00167A14"/>
    <w:rsid w:val="00171220"/>
    <w:rsid w:val="0017371A"/>
    <w:rsid w:val="0017374A"/>
    <w:rsid w:val="0018063A"/>
    <w:rsid w:val="0018083A"/>
    <w:rsid w:val="00194298"/>
    <w:rsid w:val="001A2A4C"/>
    <w:rsid w:val="001A38E3"/>
    <w:rsid w:val="001B0877"/>
    <w:rsid w:val="001B0D65"/>
    <w:rsid w:val="001B162B"/>
    <w:rsid w:val="001B2339"/>
    <w:rsid w:val="001B48C5"/>
    <w:rsid w:val="001C054F"/>
    <w:rsid w:val="001C64C7"/>
    <w:rsid w:val="001D5EE9"/>
    <w:rsid w:val="001E0CC4"/>
    <w:rsid w:val="001E1B05"/>
    <w:rsid w:val="001E32A3"/>
    <w:rsid w:val="001E3738"/>
    <w:rsid w:val="001E4B62"/>
    <w:rsid w:val="001E7C77"/>
    <w:rsid w:val="001F0BA5"/>
    <w:rsid w:val="001F1518"/>
    <w:rsid w:val="001F1AE1"/>
    <w:rsid w:val="001F1BF4"/>
    <w:rsid w:val="001F230D"/>
    <w:rsid w:val="001F4517"/>
    <w:rsid w:val="001F4E1B"/>
    <w:rsid w:val="001F626D"/>
    <w:rsid w:val="001F7EAA"/>
    <w:rsid w:val="00201A43"/>
    <w:rsid w:val="002101F1"/>
    <w:rsid w:val="00216738"/>
    <w:rsid w:val="00225DA0"/>
    <w:rsid w:val="00227821"/>
    <w:rsid w:val="00237C3F"/>
    <w:rsid w:val="00240461"/>
    <w:rsid w:val="0024120D"/>
    <w:rsid w:val="002436E4"/>
    <w:rsid w:val="002458EB"/>
    <w:rsid w:val="00245E7A"/>
    <w:rsid w:val="00247B48"/>
    <w:rsid w:val="002500C5"/>
    <w:rsid w:val="00251520"/>
    <w:rsid w:val="00253061"/>
    <w:rsid w:val="0026057E"/>
    <w:rsid w:val="00263D34"/>
    <w:rsid w:val="0026441B"/>
    <w:rsid w:val="002673F2"/>
    <w:rsid w:val="002713FB"/>
    <w:rsid w:val="00275081"/>
    <w:rsid w:val="0027762B"/>
    <w:rsid w:val="00281B6A"/>
    <w:rsid w:val="00283138"/>
    <w:rsid w:val="00287CD8"/>
    <w:rsid w:val="0029051E"/>
    <w:rsid w:val="002946BB"/>
    <w:rsid w:val="002A2DA0"/>
    <w:rsid w:val="002A35F2"/>
    <w:rsid w:val="002A5BDD"/>
    <w:rsid w:val="002B08F8"/>
    <w:rsid w:val="002B2BD8"/>
    <w:rsid w:val="002B4965"/>
    <w:rsid w:val="002B6246"/>
    <w:rsid w:val="002B7104"/>
    <w:rsid w:val="002C2612"/>
    <w:rsid w:val="002C417C"/>
    <w:rsid w:val="002C6BAB"/>
    <w:rsid w:val="002D1109"/>
    <w:rsid w:val="002D11E9"/>
    <w:rsid w:val="002D1FB1"/>
    <w:rsid w:val="002D2794"/>
    <w:rsid w:val="002E0B3C"/>
    <w:rsid w:val="002E2E32"/>
    <w:rsid w:val="002E5A73"/>
    <w:rsid w:val="002E5ABA"/>
    <w:rsid w:val="002E5E00"/>
    <w:rsid w:val="002E7210"/>
    <w:rsid w:val="002E741F"/>
    <w:rsid w:val="002F20BF"/>
    <w:rsid w:val="002F37F8"/>
    <w:rsid w:val="002F745D"/>
    <w:rsid w:val="003009BB"/>
    <w:rsid w:val="00303F11"/>
    <w:rsid w:val="00312412"/>
    <w:rsid w:val="00312883"/>
    <w:rsid w:val="0031489C"/>
    <w:rsid w:val="0031602D"/>
    <w:rsid w:val="00317A52"/>
    <w:rsid w:val="003211B4"/>
    <w:rsid w:val="003225BF"/>
    <w:rsid w:val="00327097"/>
    <w:rsid w:val="00331188"/>
    <w:rsid w:val="003348D0"/>
    <w:rsid w:val="0033580D"/>
    <w:rsid w:val="003420AB"/>
    <w:rsid w:val="0034215D"/>
    <w:rsid w:val="00344B07"/>
    <w:rsid w:val="00345D81"/>
    <w:rsid w:val="00346402"/>
    <w:rsid w:val="00350F0B"/>
    <w:rsid w:val="00351103"/>
    <w:rsid w:val="00353F23"/>
    <w:rsid w:val="0036043D"/>
    <w:rsid w:val="00363E15"/>
    <w:rsid w:val="00370E29"/>
    <w:rsid w:val="00370FED"/>
    <w:rsid w:val="00374CE4"/>
    <w:rsid w:val="00377F07"/>
    <w:rsid w:val="00381950"/>
    <w:rsid w:val="00391DE8"/>
    <w:rsid w:val="003A34B6"/>
    <w:rsid w:val="003A3DF2"/>
    <w:rsid w:val="003A406D"/>
    <w:rsid w:val="003B149F"/>
    <w:rsid w:val="003B1F62"/>
    <w:rsid w:val="003B2D20"/>
    <w:rsid w:val="003B2E53"/>
    <w:rsid w:val="003B4EBB"/>
    <w:rsid w:val="003B5823"/>
    <w:rsid w:val="003B598B"/>
    <w:rsid w:val="003C2DFE"/>
    <w:rsid w:val="003C56B5"/>
    <w:rsid w:val="003C5B09"/>
    <w:rsid w:val="003C74F3"/>
    <w:rsid w:val="003D10EE"/>
    <w:rsid w:val="003D218B"/>
    <w:rsid w:val="003D3197"/>
    <w:rsid w:val="003D66DF"/>
    <w:rsid w:val="003D6E38"/>
    <w:rsid w:val="003D7B84"/>
    <w:rsid w:val="003E2430"/>
    <w:rsid w:val="003E3F9B"/>
    <w:rsid w:val="003E4205"/>
    <w:rsid w:val="003E69B1"/>
    <w:rsid w:val="003F12B2"/>
    <w:rsid w:val="003F5768"/>
    <w:rsid w:val="004018A8"/>
    <w:rsid w:val="00401FED"/>
    <w:rsid w:val="00403CBB"/>
    <w:rsid w:val="004076BF"/>
    <w:rsid w:val="00411D7F"/>
    <w:rsid w:val="004135F5"/>
    <w:rsid w:val="00415F6D"/>
    <w:rsid w:val="00417F63"/>
    <w:rsid w:val="00422DE1"/>
    <w:rsid w:val="00432E04"/>
    <w:rsid w:val="004331D5"/>
    <w:rsid w:val="0043340A"/>
    <w:rsid w:val="00433BA4"/>
    <w:rsid w:val="00440FDE"/>
    <w:rsid w:val="00441258"/>
    <w:rsid w:val="004463F2"/>
    <w:rsid w:val="00450674"/>
    <w:rsid w:val="00451BF1"/>
    <w:rsid w:val="00455F9A"/>
    <w:rsid w:val="00460678"/>
    <w:rsid w:val="0046357A"/>
    <w:rsid w:val="00464891"/>
    <w:rsid w:val="004707C6"/>
    <w:rsid w:val="00472806"/>
    <w:rsid w:val="00473291"/>
    <w:rsid w:val="00480C32"/>
    <w:rsid w:val="00480CB4"/>
    <w:rsid w:val="00487C39"/>
    <w:rsid w:val="00490ED5"/>
    <w:rsid w:val="004950DA"/>
    <w:rsid w:val="00497498"/>
    <w:rsid w:val="004A0714"/>
    <w:rsid w:val="004A0F4B"/>
    <w:rsid w:val="004A1EBD"/>
    <w:rsid w:val="004A4A45"/>
    <w:rsid w:val="004A529A"/>
    <w:rsid w:val="004B5DDA"/>
    <w:rsid w:val="004B6F21"/>
    <w:rsid w:val="004C1B5C"/>
    <w:rsid w:val="004C64D6"/>
    <w:rsid w:val="004C76ED"/>
    <w:rsid w:val="004E1399"/>
    <w:rsid w:val="004E1AAA"/>
    <w:rsid w:val="004E2E5C"/>
    <w:rsid w:val="004E4B0E"/>
    <w:rsid w:val="004E4E0D"/>
    <w:rsid w:val="004E5036"/>
    <w:rsid w:val="004E73A0"/>
    <w:rsid w:val="004F2C70"/>
    <w:rsid w:val="004F6092"/>
    <w:rsid w:val="00503517"/>
    <w:rsid w:val="0050494A"/>
    <w:rsid w:val="005061A7"/>
    <w:rsid w:val="00510600"/>
    <w:rsid w:val="00524537"/>
    <w:rsid w:val="00531F91"/>
    <w:rsid w:val="00545792"/>
    <w:rsid w:val="0054756C"/>
    <w:rsid w:val="005524AE"/>
    <w:rsid w:val="00553B6C"/>
    <w:rsid w:val="0055625E"/>
    <w:rsid w:val="005572A9"/>
    <w:rsid w:val="00564EBC"/>
    <w:rsid w:val="00565749"/>
    <w:rsid w:val="00567CF6"/>
    <w:rsid w:val="005704B4"/>
    <w:rsid w:val="005705CE"/>
    <w:rsid w:val="00571340"/>
    <w:rsid w:val="00573534"/>
    <w:rsid w:val="00574A81"/>
    <w:rsid w:val="00582E93"/>
    <w:rsid w:val="00594864"/>
    <w:rsid w:val="005948CA"/>
    <w:rsid w:val="00596C0B"/>
    <w:rsid w:val="005A0628"/>
    <w:rsid w:val="005A6B99"/>
    <w:rsid w:val="005B4442"/>
    <w:rsid w:val="005B56E0"/>
    <w:rsid w:val="005B5F89"/>
    <w:rsid w:val="005B70F5"/>
    <w:rsid w:val="005C129A"/>
    <w:rsid w:val="005C24AA"/>
    <w:rsid w:val="005C4942"/>
    <w:rsid w:val="005D4933"/>
    <w:rsid w:val="005E17FA"/>
    <w:rsid w:val="005E3EC9"/>
    <w:rsid w:val="005F4453"/>
    <w:rsid w:val="006003A6"/>
    <w:rsid w:val="006020F4"/>
    <w:rsid w:val="00603B5E"/>
    <w:rsid w:val="00603C5E"/>
    <w:rsid w:val="00611015"/>
    <w:rsid w:val="0062254D"/>
    <w:rsid w:val="00624FDB"/>
    <w:rsid w:val="006261A4"/>
    <w:rsid w:val="00630240"/>
    <w:rsid w:val="00642E56"/>
    <w:rsid w:val="006509BA"/>
    <w:rsid w:val="00653F2D"/>
    <w:rsid w:val="00660209"/>
    <w:rsid w:val="006612CE"/>
    <w:rsid w:val="0066451A"/>
    <w:rsid w:val="00665207"/>
    <w:rsid w:val="006709B5"/>
    <w:rsid w:val="0067301D"/>
    <w:rsid w:val="00673461"/>
    <w:rsid w:val="006825AC"/>
    <w:rsid w:val="00684AE4"/>
    <w:rsid w:val="00684BEC"/>
    <w:rsid w:val="0069097D"/>
    <w:rsid w:val="0069218D"/>
    <w:rsid w:val="00696599"/>
    <w:rsid w:val="006A4829"/>
    <w:rsid w:val="006A5191"/>
    <w:rsid w:val="006A6B46"/>
    <w:rsid w:val="006B1D5C"/>
    <w:rsid w:val="006B488B"/>
    <w:rsid w:val="006B75C9"/>
    <w:rsid w:val="006C3999"/>
    <w:rsid w:val="006C5172"/>
    <w:rsid w:val="006C7C5A"/>
    <w:rsid w:val="006D584A"/>
    <w:rsid w:val="006D5DFA"/>
    <w:rsid w:val="006E0014"/>
    <w:rsid w:val="006E279F"/>
    <w:rsid w:val="006E3C62"/>
    <w:rsid w:val="006E60C7"/>
    <w:rsid w:val="006F16F8"/>
    <w:rsid w:val="006F2F93"/>
    <w:rsid w:val="006F3D91"/>
    <w:rsid w:val="006F3D98"/>
    <w:rsid w:val="006F5052"/>
    <w:rsid w:val="007010A1"/>
    <w:rsid w:val="007021CD"/>
    <w:rsid w:val="00702609"/>
    <w:rsid w:val="007026FD"/>
    <w:rsid w:val="00702895"/>
    <w:rsid w:val="00704072"/>
    <w:rsid w:val="0070638E"/>
    <w:rsid w:val="00721982"/>
    <w:rsid w:val="007227EC"/>
    <w:rsid w:val="00733454"/>
    <w:rsid w:val="007457E9"/>
    <w:rsid w:val="00751A01"/>
    <w:rsid w:val="0075410A"/>
    <w:rsid w:val="0076275D"/>
    <w:rsid w:val="007720E2"/>
    <w:rsid w:val="007779A9"/>
    <w:rsid w:val="0078480F"/>
    <w:rsid w:val="00784D5A"/>
    <w:rsid w:val="00787995"/>
    <w:rsid w:val="00787EC4"/>
    <w:rsid w:val="00790034"/>
    <w:rsid w:val="00792E49"/>
    <w:rsid w:val="00794354"/>
    <w:rsid w:val="007952AE"/>
    <w:rsid w:val="007A0166"/>
    <w:rsid w:val="007B13C1"/>
    <w:rsid w:val="007B2AAD"/>
    <w:rsid w:val="007B4BE5"/>
    <w:rsid w:val="007C1EF6"/>
    <w:rsid w:val="007C294A"/>
    <w:rsid w:val="007C43C9"/>
    <w:rsid w:val="007C5170"/>
    <w:rsid w:val="007C517A"/>
    <w:rsid w:val="007D3E2B"/>
    <w:rsid w:val="007D5A35"/>
    <w:rsid w:val="007D6D59"/>
    <w:rsid w:val="007D76D5"/>
    <w:rsid w:val="007D796F"/>
    <w:rsid w:val="007D7F20"/>
    <w:rsid w:val="007E08B9"/>
    <w:rsid w:val="007E4A01"/>
    <w:rsid w:val="007F0410"/>
    <w:rsid w:val="007F29AD"/>
    <w:rsid w:val="007F41D4"/>
    <w:rsid w:val="007F5BBF"/>
    <w:rsid w:val="007F70EF"/>
    <w:rsid w:val="007F74F3"/>
    <w:rsid w:val="008012F9"/>
    <w:rsid w:val="00801A45"/>
    <w:rsid w:val="0080356C"/>
    <w:rsid w:val="00804730"/>
    <w:rsid w:val="00805995"/>
    <w:rsid w:val="008059BD"/>
    <w:rsid w:val="00810348"/>
    <w:rsid w:val="00810835"/>
    <w:rsid w:val="008227AE"/>
    <w:rsid w:val="008231BE"/>
    <w:rsid w:val="008234DC"/>
    <w:rsid w:val="00825022"/>
    <w:rsid w:val="008270B5"/>
    <w:rsid w:val="0082761A"/>
    <w:rsid w:val="008314DB"/>
    <w:rsid w:val="00840EE6"/>
    <w:rsid w:val="00844C7E"/>
    <w:rsid w:val="00844FDE"/>
    <w:rsid w:val="00845907"/>
    <w:rsid w:val="00846611"/>
    <w:rsid w:val="0085014F"/>
    <w:rsid w:val="008542BD"/>
    <w:rsid w:val="008603CC"/>
    <w:rsid w:val="008662AB"/>
    <w:rsid w:val="008667D1"/>
    <w:rsid w:val="00873B54"/>
    <w:rsid w:val="00874FED"/>
    <w:rsid w:val="008765C1"/>
    <w:rsid w:val="008803EB"/>
    <w:rsid w:val="00882984"/>
    <w:rsid w:val="00883C0F"/>
    <w:rsid w:val="008873D1"/>
    <w:rsid w:val="00887536"/>
    <w:rsid w:val="00892220"/>
    <w:rsid w:val="008947AD"/>
    <w:rsid w:val="00894AE1"/>
    <w:rsid w:val="008A1B23"/>
    <w:rsid w:val="008A1EA7"/>
    <w:rsid w:val="008A3F6C"/>
    <w:rsid w:val="008B1E50"/>
    <w:rsid w:val="008B335A"/>
    <w:rsid w:val="008B5B33"/>
    <w:rsid w:val="008C0BDC"/>
    <w:rsid w:val="008C3CF5"/>
    <w:rsid w:val="008C4F8B"/>
    <w:rsid w:val="008C5E41"/>
    <w:rsid w:val="008C6416"/>
    <w:rsid w:val="008C70AA"/>
    <w:rsid w:val="008D10E2"/>
    <w:rsid w:val="008D6711"/>
    <w:rsid w:val="008E1118"/>
    <w:rsid w:val="008E19EC"/>
    <w:rsid w:val="008E2B12"/>
    <w:rsid w:val="008E35FE"/>
    <w:rsid w:val="008E3E3A"/>
    <w:rsid w:val="008E45E0"/>
    <w:rsid w:val="008E75AD"/>
    <w:rsid w:val="008E7A66"/>
    <w:rsid w:val="008E7B51"/>
    <w:rsid w:val="008F1C24"/>
    <w:rsid w:val="008F57E1"/>
    <w:rsid w:val="008F7922"/>
    <w:rsid w:val="00900503"/>
    <w:rsid w:val="009006FB"/>
    <w:rsid w:val="0090371D"/>
    <w:rsid w:val="009051FD"/>
    <w:rsid w:val="00907172"/>
    <w:rsid w:val="00907837"/>
    <w:rsid w:val="0091269E"/>
    <w:rsid w:val="009134C7"/>
    <w:rsid w:val="009164E6"/>
    <w:rsid w:val="00916EC1"/>
    <w:rsid w:val="00917A5D"/>
    <w:rsid w:val="00917F11"/>
    <w:rsid w:val="00925568"/>
    <w:rsid w:val="009306F9"/>
    <w:rsid w:val="00932E8D"/>
    <w:rsid w:val="009340A5"/>
    <w:rsid w:val="00937196"/>
    <w:rsid w:val="00941C9D"/>
    <w:rsid w:val="00954E5A"/>
    <w:rsid w:val="00957C2E"/>
    <w:rsid w:val="00961221"/>
    <w:rsid w:val="009630A7"/>
    <w:rsid w:val="009640FD"/>
    <w:rsid w:val="00964A87"/>
    <w:rsid w:val="00966185"/>
    <w:rsid w:val="00971542"/>
    <w:rsid w:val="00974375"/>
    <w:rsid w:val="009758A9"/>
    <w:rsid w:val="00991183"/>
    <w:rsid w:val="00992820"/>
    <w:rsid w:val="00992CF8"/>
    <w:rsid w:val="00993717"/>
    <w:rsid w:val="00993D6A"/>
    <w:rsid w:val="00993F53"/>
    <w:rsid w:val="009A058E"/>
    <w:rsid w:val="009A693C"/>
    <w:rsid w:val="009B5061"/>
    <w:rsid w:val="009C2C42"/>
    <w:rsid w:val="009C4F0F"/>
    <w:rsid w:val="009D111F"/>
    <w:rsid w:val="009D3E0F"/>
    <w:rsid w:val="009D4E4A"/>
    <w:rsid w:val="009D5813"/>
    <w:rsid w:val="009D6531"/>
    <w:rsid w:val="009E498C"/>
    <w:rsid w:val="009E7171"/>
    <w:rsid w:val="009F4E2C"/>
    <w:rsid w:val="00A01274"/>
    <w:rsid w:val="00A01D91"/>
    <w:rsid w:val="00A02978"/>
    <w:rsid w:val="00A075CD"/>
    <w:rsid w:val="00A07785"/>
    <w:rsid w:val="00A10A2F"/>
    <w:rsid w:val="00A168C0"/>
    <w:rsid w:val="00A173F5"/>
    <w:rsid w:val="00A21590"/>
    <w:rsid w:val="00A226C6"/>
    <w:rsid w:val="00A23E00"/>
    <w:rsid w:val="00A2450E"/>
    <w:rsid w:val="00A26D33"/>
    <w:rsid w:val="00A27CD8"/>
    <w:rsid w:val="00A34837"/>
    <w:rsid w:val="00A37040"/>
    <w:rsid w:val="00A455F3"/>
    <w:rsid w:val="00A46FDA"/>
    <w:rsid w:val="00A53D9A"/>
    <w:rsid w:val="00A60E15"/>
    <w:rsid w:val="00A65891"/>
    <w:rsid w:val="00A6682E"/>
    <w:rsid w:val="00A66E4A"/>
    <w:rsid w:val="00A70730"/>
    <w:rsid w:val="00A72CAD"/>
    <w:rsid w:val="00A77035"/>
    <w:rsid w:val="00A774DD"/>
    <w:rsid w:val="00A87BBD"/>
    <w:rsid w:val="00A92F56"/>
    <w:rsid w:val="00A963D0"/>
    <w:rsid w:val="00AA4A2C"/>
    <w:rsid w:val="00AA7E15"/>
    <w:rsid w:val="00AB0C2B"/>
    <w:rsid w:val="00AB4A54"/>
    <w:rsid w:val="00AB7E32"/>
    <w:rsid w:val="00AD127B"/>
    <w:rsid w:val="00AD3C7F"/>
    <w:rsid w:val="00AE5235"/>
    <w:rsid w:val="00AF3B10"/>
    <w:rsid w:val="00AF5DA8"/>
    <w:rsid w:val="00AF7D7D"/>
    <w:rsid w:val="00B0270B"/>
    <w:rsid w:val="00B066C8"/>
    <w:rsid w:val="00B1254D"/>
    <w:rsid w:val="00B13FEF"/>
    <w:rsid w:val="00B145D9"/>
    <w:rsid w:val="00B15456"/>
    <w:rsid w:val="00B21141"/>
    <w:rsid w:val="00B2147D"/>
    <w:rsid w:val="00B267BD"/>
    <w:rsid w:val="00B3343D"/>
    <w:rsid w:val="00B35769"/>
    <w:rsid w:val="00B35E3D"/>
    <w:rsid w:val="00B37EBA"/>
    <w:rsid w:val="00B4187C"/>
    <w:rsid w:val="00B41C82"/>
    <w:rsid w:val="00B432EC"/>
    <w:rsid w:val="00B50099"/>
    <w:rsid w:val="00B53B4F"/>
    <w:rsid w:val="00B56F1D"/>
    <w:rsid w:val="00B57F65"/>
    <w:rsid w:val="00B57FA1"/>
    <w:rsid w:val="00B604A8"/>
    <w:rsid w:val="00B63AE5"/>
    <w:rsid w:val="00B653AF"/>
    <w:rsid w:val="00B71A75"/>
    <w:rsid w:val="00B76B73"/>
    <w:rsid w:val="00B808F1"/>
    <w:rsid w:val="00B839B9"/>
    <w:rsid w:val="00B93F1A"/>
    <w:rsid w:val="00B950AC"/>
    <w:rsid w:val="00B97CC2"/>
    <w:rsid w:val="00BA0F05"/>
    <w:rsid w:val="00BA1CE3"/>
    <w:rsid w:val="00BA2542"/>
    <w:rsid w:val="00BA4066"/>
    <w:rsid w:val="00BA4D07"/>
    <w:rsid w:val="00BB231C"/>
    <w:rsid w:val="00BB5CA3"/>
    <w:rsid w:val="00BB6BBE"/>
    <w:rsid w:val="00BC032D"/>
    <w:rsid w:val="00BC23DD"/>
    <w:rsid w:val="00BD3B24"/>
    <w:rsid w:val="00BD43F1"/>
    <w:rsid w:val="00BD5BEA"/>
    <w:rsid w:val="00BD6677"/>
    <w:rsid w:val="00BE0231"/>
    <w:rsid w:val="00BE121A"/>
    <w:rsid w:val="00BE1D73"/>
    <w:rsid w:val="00BE434F"/>
    <w:rsid w:val="00BF01C4"/>
    <w:rsid w:val="00BF15FB"/>
    <w:rsid w:val="00BF2108"/>
    <w:rsid w:val="00BF7CF3"/>
    <w:rsid w:val="00C05177"/>
    <w:rsid w:val="00C07146"/>
    <w:rsid w:val="00C142BB"/>
    <w:rsid w:val="00C15236"/>
    <w:rsid w:val="00C1749E"/>
    <w:rsid w:val="00C31C8E"/>
    <w:rsid w:val="00C33045"/>
    <w:rsid w:val="00C34BA5"/>
    <w:rsid w:val="00C376F8"/>
    <w:rsid w:val="00C4154A"/>
    <w:rsid w:val="00C460DF"/>
    <w:rsid w:val="00C46753"/>
    <w:rsid w:val="00C47DC9"/>
    <w:rsid w:val="00C50113"/>
    <w:rsid w:val="00C5234D"/>
    <w:rsid w:val="00C537FE"/>
    <w:rsid w:val="00C5546B"/>
    <w:rsid w:val="00C61CF7"/>
    <w:rsid w:val="00C67122"/>
    <w:rsid w:val="00C70487"/>
    <w:rsid w:val="00C71DA3"/>
    <w:rsid w:val="00C749E1"/>
    <w:rsid w:val="00C75138"/>
    <w:rsid w:val="00C8058A"/>
    <w:rsid w:val="00C84D52"/>
    <w:rsid w:val="00C87517"/>
    <w:rsid w:val="00C923FF"/>
    <w:rsid w:val="00C92748"/>
    <w:rsid w:val="00C92BB5"/>
    <w:rsid w:val="00C95882"/>
    <w:rsid w:val="00CA05D7"/>
    <w:rsid w:val="00CA0DE5"/>
    <w:rsid w:val="00CA37D5"/>
    <w:rsid w:val="00CA38AC"/>
    <w:rsid w:val="00CB55AE"/>
    <w:rsid w:val="00CC3DDF"/>
    <w:rsid w:val="00CC3F7E"/>
    <w:rsid w:val="00CC424D"/>
    <w:rsid w:val="00CD590A"/>
    <w:rsid w:val="00CD77E5"/>
    <w:rsid w:val="00CE01D1"/>
    <w:rsid w:val="00CE24A1"/>
    <w:rsid w:val="00CF6957"/>
    <w:rsid w:val="00D01B9F"/>
    <w:rsid w:val="00D068D0"/>
    <w:rsid w:val="00D12E3D"/>
    <w:rsid w:val="00D14007"/>
    <w:rsid w:val="00D261BD"/>
    <w:rsid w:val="00D27D91"/>
    <w:rsid w:val="00D31353"/>
    <w:rsid w:val="00D33CA8"/>
    <w:rsid w:val="00D36E79"/>
    <w:rsid w:val="00D3719B"/>
    <w:rsid w:val="00D4144D"/>
    <w:rsid w:val="00D43755"/>
    <w:rsid w:val="00D43EDB"/>
    <w:rsid w:val="00D51CFC"/>
    <w:rsid w:val="00D60F0D"/>
    <w:rsid w:val="00D61427"/>
    <w:rsid w:val="00D61C07"/>
    <w:rsid w:val="00D66FBA"/>
    <w:rsid w:val="00D715BD"/>
    <w:rsid w:val="00D71A24"/>
    <w:rsid w:val="00D74DAA"/>
    <w:rsid w:val="00D77BC7"/>
    <w:rsid w:val="00D9394B"/>
    <w:rsid w:val="00D949E4"/>
    <w:rsid w:val="00D95079"/>
    <w:rsid w:val="00D964F5"/>
    <w:rsid w:val="00DA06C6"/>
    <w:rsid w:val="00DA2E41"/>
    <w:rsid w:val="00DA36AC"/>
    <w:rsid w:val="00DA4875"/>
    <w:rsid w:val="00DC1204"/>
    <w:rsid w:val="00DC6909"/>
    <w:rsid w:val="00DD1775"/>
    <w:rsid w:val="00DD48B3"/>
    <w:rsid w:val="00DD4A30"/>
    <w:rsid w:val="00DD7D90"/>
    <w:rsid w:val="00DE0EEA"/>
    <w:rsid w:val="00DE3033"/>
    <w:rsid w:val="00DE5392"/>
    <w:rsid w:val="00DE5C72"/>
    <w:rsid w:val="00DF2419"/>
    <w:rsid w:val="00DF2C83"/>
    <w:rsid w:val="00DF5C6C"/>
    <w:rsid w:val="00DF6FA4"/>
    <w:rsid w:val="00DF70E7"/>
    <w:rsid w:val="00E00305"/>
    <w:rsid w:val="00E03A65"/>
    <w:rsid w:val="00E0672B"/>
    <w:rsid w:val="00E06B4D"/>
    <w:rsid w:val="00E0774A"/>
    <w:rsid w:val="00E113F9"/>
    <w:rsid w:val="00E11B61"/>
    <w:rsid w:val="00E131D3"/>
    <w:rsid w:val="00E14274"/>
    <w:rsid w:val="00E21CE1"/>
    <w:rsid w:val="00E22DE8"/>
    <w:rsid w:val="00E25A2D"/>
    <w:rsid w:val="00E26BBE"/>
    <w:rsid w:val="00E30340"/>
    <w:rsid w:val="00E3234E"/>
    <w:rsid w:val="00E362B0"/>
    <w:rsid w:val="00E366BA"/>
    <w:rsid w:val="00E3698C"/>
    <w:rsid w:val="00E36A92"/>
    <w:rsid w:val="00E459D8"/>
    <w:rsid w:val="00E5048D"/>
    <w:rsid w:val="00E5100D"/>
    <w:rsid w:val="00E51C84"/>
    <w:rsid w:val="00E54026"/>
    <w:rsid w:val="00E56957"/>
    <w:rsid w:val="00E61337"/>
    <w:rsid w:val="00E6557E"/>
    <w:rsid w:val="00E76FB2"/>
    <w:rsid w:val="00E84402"/>
    <w:rsid w:val="00E86D30"/>
    <w:rsid w:val="00E90D03"/>
    <w:rsid w:val="00EA594F"/>
    <w:rsid w:val="00EB3BDC"/>
    <w:rsid w:val="00EB52CF"/>
    <w:rsid w:val="00EB6147"/>
    <w:rsid w:val="00EB65A5"/>
    <w:rsid w:val="00EC01D3"/>
    <w:rsid w:val="00EC3049"/>
    <w:rsid w:val="00EC7F9E"/>
    <w:rsid w:val="00ED0F45"/>
    <w:rsid w:val="00ED1A29"/>
    <w:rsid w:val="00ED467A"/>
    <w:rsid w:val="00ED6F68"/>
    <w:rsid w:val="00EE1D1A"/>
    <w:rsid w:val="00EE33B0"/>
    <w:rsid w:val="00EF34D3"/>
    <w:rsid w:val="00F0357C"/>
    <w:rsid w:val="00F03C91"/>
    <w:rsid w:val="00F06BBE"/>
    <w:rsid w:val="00F11B89"/>
    <w:rsid w:val="00F14F47"/>
    <w:rsid w:val="00F16F10"/>
    <w:rsid w:val="00F174EF"/>
    <w:rsid w:val="00F17AAF"/>
    <w:rsid w:val="00F20823"/>
    <w:rsid w:val="00F21756"/>
    <w:rsid w:val="00F21C43"/>
    <w:rsid w:val="00F21D6E"/>
    <w:rsid w:val="00F21DD1"/>
    <w:rsid w:val="00F24B40"/>
    <w:rsid w:val="00F26DF2"/>
    <w:rsid w:val="00F279E9"/>
    <w:rsid w:val="00F27AAA"/>
    <w:rsid w:val="00F31146"/>
    <w:rsid w:val="00F31AF4"/>
    <w:rsid w:val="00F40E98"/>
    <w:rsid w:val="00F41497"/>
    <w:rsid w:val="00F418FD"/>
    <w:rsid w:val="00F50055"/>
    <w:rsid w:val="00F56747"/>
    <w:rsid w:val="00F606D1"/>
    <w:rsid w:val="00F62DA6"/>
    <w:rsid w:val="00F75164"/>
    <w:rsid w:val="00F7557E"/>
    <w:rsid w:val="00F8171D"/>
    <w:rsid w:val="00F817A2"/>
    <w:rsid w:val="00F828C1"/>
    <w:rsid w:val="00F922C1"/>
    <w:rsid w:val="00F940B9"/>
    <w:rsid w:val="00F94DEC"/>
    <w:rsid w:val="00F96094"/>
    <w:rsid w:val="00FA1307"/>
    <w:rsid w:val="00FA2050"/>
    <w:rsid w:val="00FA2AA3"/>
    <w:rsid w:val="00FA4A79"/>
    <w:rsid w:val="00FA63B8"/>
    <w:rsid w:val="00FB0041"/>
    <w:rsid w:val="00FB5089"/>
    <w:rsid w:val="00FB787E"/>
    <w:rsid w:val="00FC136F"/>
    <w:rsid w:val="00FC4C82"/>
    <w:rsid w:val="00FC5D10"/>
    <w:rsid w:val="00FD577D"/>
    <w:rsid w:val="00FE6480"/>
    <w:rsid w:val="00FE6CCA"/>
    <w:rsid w:val="00FF0846"/>
    <w:rsid w:val="00FF559D"/>
    <w:rsid w:val="00FF5FCE"/>
    <w:rsid w:val="043F0C33"/>
    <w:rsid w:val="0944D8B5"/>
    <w:rsid w:val="094EA037"/>
    <w:rsid w:val="0B29E351"/>
    <w:rsid w:val="180E4867"/>
    <w:rsid w:val="1AAFE83C"/>
    <w:rsid w:val="1F51E869"/>
    <w:rsid w:val="24149468"/>
    <w:rsid w:val="25CAD7B2"/>
    <w:rsid w:val="2C45198D"/>
    <w:rsid w:val="304EB092"/>
    <w:rsid w:val="410FB92C"/>
    <w:rsid w:val="4F39233C"/>
    <w:rsid w:val="588763C5"/>
    <w:rsid w:val="5D967B5F"/>
    <w:rsid w:val="631267FE"/>
    <w:rsid w:val="7006DC9C"/>
    <w:rsid w:val="708D8E81"/>
    <w:rsid w:val="79E7EF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4"/>
      <w:szCs w:val="22"/>
      <w:lang w:val="en-GB" w:eastAsia="en-US" w:bidi="ar-SA"/>
    </w:rPr>
  </w:style>
  <w:style w:type="paragraph" w:styleId="2">
    <w:name w:val="heading 1"/>
    <w:basedOn w:val="1"/>
    <w:next w:val="1"/>
    <w:link w:val="23"/>
    <w:qFormat/>
    <w:uiPriority w:val="9"/>
    <w:pPr>
      <w:outlineLvl w:val="0"/>
    </w:pPr>
    <w:rPr>
      <w:color w:val="4F6228" w:themeColor="accent3" w:themeShade="80"/>
      <w:sz w:val="28"/>
      <w:szCs w:val="28"/>
    </w:rPr>
  </w:style>
  <w:style w:type="paragraph" w:styleId="3">
    <w:name w:val="heading 2"/>
    <w:basedOn w:val="1"/>
    <w:next w:val="1"/>
    <w:link w:val="22"/>
    <w:unhideWhenUsed/>
    <w:qFormat/>
    <w:uiPriority w:val="9"/>
    <w:pPr>
      <w:spacing w:before="240"/>
      <w:outlineLvl w:val="1"/>
    </w:pPr>
    <w:rPr>
      <w:b/>
      <w:bCs/>
      <w:color w:val="4F6228" w:themeColor="accent3" w:themeShade="80"/>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character" w:styleId="7">
    <w:name w:val="annotation reference"/>
    <w:basedOn w:val="4"/>
    <w:semiHidden/>
    <w:unhideWhenUsed/>
    <w:qFormat/>
    <w:uiPriority w:val="99"/>
    <w:rPr>
      <w:sz w:val="16"/>
      <w:szCs w:val="16"/>
    </w:rPr>
  </w:style>
  <w:style w:type="paragraph" w:styleId="8">
    <w:name w:val="annotation text"/>
    <w:basedOn w:val="1"/>
    <w:link w:val="18"/>
    <w:unhideWhenUsed/>
    <w:qFormat/>
    <w:uiPriority w:val="99"/>
    <w:pPr>
      <w:spacing w:line="240" w:lineRule="auto"/>
    </w:pPr>
    <w:rPr>
      <w:sz w:val="20"/>
      <w:szCs w:val="20"/>
    </w:rPr>
  </w:style>
  <w:style w:type="paragraph" w:styleId="9">
    <w:name w:val="annotation subject"/>
    <w:basedOn w:val="8"/>
    <w:next w:val="8"/>
    <w:link w:val="19"/>
    <w:semiHidden/>
    <w:unhideWhenUsed/>
    <w:qFormat/>
    <w:uiPriority w:val="99"/>
    <w:rPr>
      <w:b/>
      <w:bCs/>
    </w:rPr>
  </w:style>
  <w:style w:type="paragraph" w:styleId="10">
    <w:name w:val="footer"/>
    <w:basedOn w:val="1"/>
    <w:link w:val="17"/>
    <w:unhideWhenUsed/>
    <w:qFormat/>
    <w:uiPriority w:val="99"/>
    <w:pPr>
      <w:tabs>
        <w:tab w:val="center" w:pos="4513"/>
        <w:tab w:val="right" w:pos="9026"/>
      </w:tabs>
      <w:spacing w:after="0" w:line="240" w:lineRule="auto"/>
    </w:pPr>
  </w:style>
  <w:style w:type="paragraph" w:styleId="11">
    <w:name w:val="header"/>
    <w:basedOn w:val="1"/>
    <w:link w:val="16"/>
    <w:unhideWhenUsed/>
    <w:qFormat/>
    <w:uiPriority w:val="99"/>
    <w:pPr>
      <w:tabs>
        <w:tab w:val="center" w:pos="4513"/>
        <w:tab w:val="right" w:pos="9026"/>
      </w:tabs>
      <w:spacing w:after="0" w:line="240" w:lineRule="auto"/>
    </w:pPr>
  </w:style>
  <w:style w:type="paragraph" w:styleId="12">
    <w:name w:val="List Bullet"/>
    <w:basedOn w:val="1"/>
    <w:unhideWhenUsed/>
    <w:qFormat/>
    <w:uiPriority w:val="99"/>
    <w:pPr>
      <w:numPr>
        <w:ilvl w:val="0"/>
        <w:numId w:val="1"/>
      </w:numPr>
      <w:contextualSpacing/>
    </w:pPr>
    <w:rPr>
      <w:rFonts w:asciiTheme="minorHAnsi" w:hAnsiTheme="minorHAnsi" w:eastAsiaTheme="minorEastAsia"/>
      <w:sz w:val="22"/>
      <w:lang w:val="en-US"/>
    </w:r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Balloon Text Char"/>
    <w:basedOn w:val="4"/>
    <w:link w:val="6"/>
    <w:semiHidden/>
    <w:qFormat/>
    <w:uiPriority w:val="99"/>
    <w:rPr>
      <w:rFonts w:ascii="Tahoma" w:hAnsi="Tahoma" w:cs="Tahoma"/>
      <w:sz w:val="16"/>
      <w:szCs w:val="16"/>
    </w:rPr>
  </w:style>
  <w:style w:type="character" w:customStyle="1" w:styleId="16">
    <w:name w:val="Header Char"/>
    <w:basedOn w:val="4"/>
    <w:link w:val="11"/>
    <w:qFormat/>
    <w:uiPriority w:val="99"/>
  </w:style>
  <w:style w:type="character" w:customStyle="1" w:styleId="17">
    <w:name w:val="Footer Char"/>
    <w:basedOn w:val="4"/>
    <w:link w:val="10"/>
    <w:qFormat/>
    <w:uiPriority w:val="99"/>
  </w:style>
  <w:style w:type="character" w:customStyle="1" w:styleId="18">
    <w:name w:val="Comment Text Char"/>
    <w:basedOn w:val="4"/>
    <w:link w:val="8"/>
    <w:qFormat/>
    <w:uiPriority w:val="99"/>
    <w:rPr>
      <w:sz w:val="20"/>
      <w:szCs w:val="20"/>
    </w:rPr>
  </w:style>
  <w:style w:type="character" w:customStyle="1" w:styleId="19">
    <w:name w:val="Comment Subject Char"/>
    <w:basedOn w:val="18"/>
    <w:link w:val="9"/>
    <w:semiHidden/>
    <w:qFormat/>
    <w:uiPriority w:val="99"/>
    <w:rPr>
      <w:b/>
      <w:bCs/>
      <w:sz w:val="20"/>
      <w:szCs w:val="20"/>
    </w:rPr>
  </w:style>
  <w:style w:type="paragraph" w:customStyle="1" w:styleId="20">
    <w:name w:val="Revision"/>
    <w:hidden/>
    <w:semiHidden/>
    <w:qFormat/>
    <w:uiPriority w:val="99"/>
    <w:pPr>
      <w:spacing w:after="0" w:line="240" w:lineRule="auto"/>
    </w:pPr>
    <w:rPr>
      <w:rFonts w:ascii="Arial" w:hAnsi="Arial" w:eastAsiaTheme="minorHAnsi" w:cstheme="minorBidi"/>
      <w:sz w:val="22"/>
      <w:szCs w:val="22"/>
      <w:lang w:val="en-GB" w:eastAsia="en-US" w:bidi="ar-SA"/>
    </w:rPr>
  </w:style>
  <w:style w:type="table" w:customStyle="1" w:styleId="21">
    <w:name w:val="Grid Table 3 Accent 3"/>
    <w:basedOn w:val="5"/>
    <w:qFormat/>
    <w:uiPriority w:val="48"/>
    <w:pPr>
      <w:spacing w:after="0" w:line="240" w:lineRule="auto"/>
    </w:p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character" w:customStyle="1" w:styleId="22">
    <w:name w:val="Heading 2 Char"/>
    <w:basedOn w:val="4"/>
    <w:link w:val="3"/>
    <w:qFormat/>
    <w:uiPriority w:val="9"/>
    <w:rPr>
      <w:b/>
      <w:bCs/>
      <w:color w:val="4F6228" w:themeColor="accent3" w:themeShade="80"/>
      <w:sz w:val="24"/>
      <w:szCs w:val="24"/>
    </w:rPr>
  </w:style>
  <w:style w:type="character" w:customStyle="1" w:styleId="23">
    <w:name w:val="Heading 1 Char"/>
    <w:basedOn w:val="4"/>
    <w:link w:val="2"/>
    <w:qFormat/>
    <w:uiPriority w:val="9"/>
    <w:rPr>
      <w:color w:val="4F6228" w:themeColor="accent3" w:themeShade="8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07a74aa30e862d8606fc12743615607c">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8f8fe94d251e534a2435d804988815c7"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Props1.xml><?xml version="1.0" encoding="utf-8"?>
<ds:datastoreItem xmlns:ds="http://schemas.openxmlformats.org/officeDocument/2006/customXml" ds:itemID="{EDF1A588-1E1D-4F52-9039-3EB1AF4BE480}">
  <ds:schemaRefs/>
</ds:datastoreItem>
</file>

<file path=customXml/itemProps2.xml><?xml version="1.0" encoding="utf-8"?>
<ds:datastoreItem xmlns:ds="http://schemas.openxmlformats.org/officeDocument/2006/customXml" ds:itemID="{459B1380-2A63-4BBF-B2DE-8D0A1B71C058}">
  <ds:schemaRefs/>
</ds:datastoreItem>
</file>

<file path=customXml/itemProps3.xml><?xml version="1.0" encoding="utf-8"?>
<ds:datastoreItem xmlns:ds="http://schemas.openxmlformats.org/officeDocument/2006/customXml" ds:itemID="{40DB0065-0429-4846-B6F7-ECA254D0A75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620</Words>
  <Characters>3486</Characters>
  <Lines>153</Lines>
  <Paragraphs>43</Paragraphs>
  <TotalTime>1280</TotalTime>
  <ScaleCrop>false</ScaleCrop>
  <LinksUpToDate>false</LinksUpToDate>
  <CharactersWithSpaces>4071</CharactersWithSpaces>
  <Application>WPS Office_12.1.0.27458_F1E327BC-269C-435d-A152-05C5408002CA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2026-06-22T18:24:00Z</dcterms:created>
  <dc:creator>Ann</dc:creator>
  <cp:lastModifiedBy>David White</cp:lastModifiedBy>
  <dcterms:modified xsi:type="dcterms:W3CDTF">2026-07-20T15:23:30Z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y fmtid="{D5CDD505-2E9C-101B-9397-08002B2CF9AE}" pid="4" name="KSOProductBuildVer">
    <vt:lpwstr>1033-12.1.0.27458</vt:lpwstr>
  </property>
  <property fmtid="{D5CDD505-2E9C-101B-9397-08002B2CF9AE}" pid="5" name="ICV">
    <vt:lpwstr>BA369882991A4DDDAB5F5E3F434D9A5E_13</vt:lpwstr>
  </property>
</Properties>
</file>